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F5916">
      <w:pPr>
        <w:widowControl/>
        <w:spacing w:line="560" w:lineRule="exact"/>
        <w:ind w:firstLine="880" w:firstLineChars="20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采购人基本情况及服务内容与要求</w:t>
      </w:r>
    </w:p>
    <w:p w14:paraId="5509D97B">
      <w:pPr>
        <w:widowControl/>
        <w:spacing w:line="560" w:lineRule="exact"/>
        <w:ind w:firstLine="600" w:firstLineChars="200"/>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一、顾问单位简介</w:t>
      </w:r>
    </w:p>
    <w:p w14:paraId="6881E8E6">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成都中医药大学附属医院（四川省中医医院）创建于1957年，是新中国最早成立的四所高等中医药院校附属医院之一，也是国家“双一流”学科建设高校附属医院。经过近70年建设发展，现已成为集医疗、教学、科研、预防、保健、养生康复为一体的三级甲等中医院，是国家中医临床研究（糖尿病）基地、国家中药临床试验研究（GCP）中心、国家中医药高层次人才培养基地、国家首批中医（中医全科）住院医师规范化培训基地、国家中医药国际合作基地、国家中医临床教学培训示范中心、全国护理科普教育基地等。十四五以来，又先后获批国家中医药传承创新中心、国家中医疫病防治基地、国家级中医质控中心（内分泌专业）、中医药标准化研究转化中心建设单位，被纳入国家医学中心（中医类）辅导类创建单位，成都中医药大学附属医院德阳医院获批第五批国家区域医疗中心，在国家三级公立医院绩效考核中连续六年获评A+档次。</w:t>
      </w:r>
    </w:p>
    <w:p w14:paraId="1CDD1A82">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医院现有编制床位3000张，开放床位2300余张；专科门诊45个，专病门诊105个，6个多学科联合（MDT）门诊。2025年门急诊服务量约378.2万人次，住院量约9.25万人次。获批5个国家区域（中医）专科诊疗中心，6个国家临床重点专科（中医专业），13个国家中医药管理局重点专科，12个国家中医优势专科建设项目，2个国家重大疑难疾病中西医临床协作项目，15个省级中医优势专科建设项目，是全国中医眼病医疗中心、全国中医急症医疗中心、国家中医药管理局中医、中西医结合急诊临床基地和感染病临床基地等。同时，医院聚焦针对群众健康危害大、看病就医需求多的重大疾病及重点学科加强专病/专科联盟建设，共有21个临床科室牵头组建了专科联盟，累计加入联盟的单位有400余家，联盟成员单位覆盖11个省市地区，通过以点带面、以优带全，充分发挥专业技术优势，形成同质化中医药专科专病服务布局。医院首批取得四川省互联网医院资质，开启云门诊线上诊疗，开通线上便民开单服务、患者网上就诊、线上购药、线上医保支付、药品配送到家，实际践行了“方便看中医”的目标，被国家卫健委医政处评为“改善医疗服务示范医院”。</w:t>
      </w:r>
    </w:p>
    <w:p w14:paraId="6A283E9E">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医院遵循中医药发展规律，突出中医特色，建成具备日配方4万剂服务能力的中药房，并创新构建智慧中药房管理体系，实现智能分方、自动调剂、全流程追溯、实时评价反馈，大幅提升患者就医体验。恪守“质量、安全、规范”原则，建立中药饮片覆盖采购供应全流程的质量控制体系，形成质量管理闭环。同时积极推进制剂研发，目前医院制剂注册或备案制剂107种，纳入四川省中医药管理局、四川省药品监督管理局联合公布《四川省医疗机构中药制剂调剂品种目录》（第一批）的制剂51个，在全省医疗机构调剂使用。</w:t>
      </w:r>
    </w:p>
    <w:p w14:paraId="02A513B2">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医院注重中医药传承，集聚省内外优质资源，通过多层面、多途径培养高素质中医药人才。现已形成以针灸推拿学、中医五官科学、中医妇科学3个教育部国家重点学科为龙头，18个国家中医药管理局重点学科（含8个高水平中医药重点学科）为支撑发展的重点学科群。前瞻布局中医高原病学、中药监管科学等新兴学科，成功获批3个四川省中医药重点学科建设项目和1个培育项目，中医学在第五轮学科评估中进入前15%，中西医结合学科进入前40%。中医学获评四川省高等学校“双一流”建设贡嘎计划建设I类学科，中西医结合获评Ⅱ类学科，学科引领地位和核心优势进一步夯实。</w:t>
      </w:r>
    </w:p>
    <w:p w14:paraId="383F1A24">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学院建设一流本科课程19门，其中国家级2门，省级17门，获省级高阶课程2门；主编“十四五”行业规划教材14部，入选“十四五”普通高等教育本科省级规划教材3部，国家级规划教材1部；获首届全国教材建设奖（副主编）特等奖1名，二等奖2名。获“十五五”规划教材（本科）主编19部，副主编43部；获研究生教材主编3部，副主编6部；入选第四批全国高校黄大年式教师团队（中医内科学传承创新教师团队）1个；获省级教改项目3项，教学成果奖2项。</w:t>
      </w:r>
    </w:p>
    <w:p w14:paraId="08E9E394">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医院坚持创新为先，聚焦中医药科技的关键环节，通过平台建设、人才培育、机制优化等措施，打造研究型医院发展的强劲引擎。医院是国家中医临床（糖尿病）研究基地和国家药物临床试验机构（GCP），建有“中医内分泌代谢疾病”“中医心脑血管疾病”和“中医肿瘤”三个省级临床医学研究中心，创建了我国第一个省级中医药循证平台——“四川省中医药循证医学中心”。2025年8月，医院入选国家中医药管理局首批“中医药标准化研究转化中心”建设单位，进一步夯实了中医药标准化发展基础。医院拥有三级科研实验室1个，二级实验室3个，财政部中央与地方共建实验室2个，四川省重点实验室1个，省级科普基地1个。近五年来，医院承担各级各类课题1837项，其中国家级课题83项；荣获部省级以上科技进步奖24项；发表高质量论文3120余篇，出版学术专著80部；申报专利百余项，成果转化应用8项，转化总金额达3915万元。2023年，医院自然指数位居全国中医院第1名。这些成果有力推动了医院向研究型医院的深度转型，为中医药传承创新发展提供了有力支撑。</w:t>
      </w:r>
    </w:p>
    <w:p w14:paraId="0C3C3D84">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医院坚持人才强院战略。现有在岗职工2300余人，拥有国医大师4人，全国名中医4人，国务院政府特殊津贴专家54人，全国中医药类高等学校教学名师1人，国家有突出贡献中青年专家2人，“长江学者”奖励计划1人，国家卫生健康突出贡献中青年专家1人，国家中医药传承与创新“百千万”人才工程岐黄学者2人，青年岐黄学者5人。目前医院共有各级各类称号专家700余人次。同时，以建立名老中医工作室为载体，全面实施中医药的继承、发展、创新工作，造就了一支技术力量雄厚、实力强大的医教研人才队伍。</w:t>
      </w:r>
    </w:p>
    <w:p w14:paraId="7DA88219">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随着中医药“一带一路”国际化传播与推广的不断深入，医院对外交流与合作取得了进一步发展。先后为40多个国家和地区培养了近万名中医药临床专业人才。作为国家中医药国际合作基地（四川）、国家中医药特色外治疗法国际推广与合作基地，建设“天府云医-海外惠侨远程医疗站（西班牙）、（希腊）”。中国－黑山中医药中心、黑山分院、德国分院、白俄罗斯分院相继成立。创新打造“四川中医药欢乐行”“我在四川学中医”等中医药文旅研学品牌项目，深受外籍人士好评。</w:t>
      </w:r>
    </w:p>
    <w:p w14:paraId="0C498B18">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目前，医院已成为我国中西部地区中医药特色突出、临床学科门类齐全、自主创新能力较强、区域影响力明显、综合实力雄厚的中医医疗中心、科教中心和治未病中心，先后获得全国示范中医院、全国卫生系统行业作风建设先进集体、全国医药卫生系统先进集体、全国中医药应急工作先进集体、全国公立医院党建示范医院等一系列荣誉。</w:t>
      </w:r>
    </w:p>
    <w:p w14:paraId="2B81DEDE">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医院将始终以服务国家中医药综合改革示范区建设、助力中医药强省战略为己任，锚定建设中医药传承创新高地的目标，充分发挥中医药特色优势，持续提升中医药服务能力，全力推动新时代中医医院高质量发展，不断满足人民群众多样化、多层次的医疗健康需求，为建设健康中国、保障人民生命安全健康贡献更大力量。</w:t>
      </w:r>
    </w:p>
    <w:p w14:paraId="72D2468F">
      <w:pPr>
        <w:widowControl/>
        <w:spacing w:line="560" w:lineRule="exact"/>
        <w:ind w:firstLine="600" w:firstLineChars="200"/>
        <w:rPr>
          <w:rFonts w:hint="eastAsia" w:ascii="Times New Roman" w:hAnsi="Times New Roman" w:eastAsia="仿宋_GB2312"/>
          <w:sz w:val="30"/>
          <w:szCs w:val="30"/>
          <w:lang w:val="en-US" w:eastAsia="zh-CN"/>
        </w:rPr>
      </w:pPr>
      <w:bookmarkStart w:id="0" w:name="_GoBack"/>
      <w:bookmarkEnd w:id="0"/>
      <w:r>
        <w:rPr>
          <w:rFonts w:hint="eastAsia" w:ascii="Times New Roman" w:hAnsi="Times New Roman" w:eastAsia="仿宋_GB2312"/>
          <w:sz w:val="30"/>
          <w:szCs w:val="30"/>
          <w:lang w:val="en-US" w:eastAsia="zh-CN"/>
        </w:rPr>
        <w:t>二、服务内容</w:t>
      </w:r>
    </w:p>
    <w:p w14:paraId="6E0119AE">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（一）顾问律师的服务内容为协助医院处理医疗诉讼、医疗纠纷咨询及调解、临床法律查房、医疗法律培训等，包括：</w:t>
      </w:r>
    </w:p>
    <w:p w14:paraId="2A6E3066">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1、进行诉讼成本、诉讼风险的预测，提出法律意见与对策；针对医院涉及患者死亡或者伤残的医疗纠纷，应在开庭前进行诉讼成本、诉讼风险的预测，提出诉讼法律意见与对策。</w:t>
      </w:r>
    </w:p>
    <w:p w14:paraId="567EAFA2">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2、提供与案件密切相关的法律、法规、规章、政策等法律信息。</w:t>
      </w:r>
    </w:p>
    <w:p w14:paraId="6B08853E">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3、根据医院提供的证据材料，进行法律咨询和案件风险评估，提供法律意见。</w:t>
      </w:r>
    </w:p>
    <w:p w14:paraId="5AF9AE1F">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4、根据需要进行调查取证，参与医疗事故技术鉴定或司法过错鉴定。</w:t>
      </w:r>
    </w:p>
    <w:p w14:paraId="0AAC5EB8">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5、根据需要或者授权代为递交或者收取有关诉讼文书。</w:t>
      </w:r>
    </w:p>
    <w:p w14:paraId="5E865C99">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6、在司法机关查阅、复制案卷材料。</w:t>
      </w:r>
    </w:p>
    <w:p w14:paraId="6D2008A6">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7、提供医疗欠费代理法律服务。</w:t>
      </w:r>
    </w:p>
    <w:p w14:paraId="04674FDF">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8、草拟、审查和修改诉讼所需的各种诉讼文书。</w:t>
      </w:r>
    </w:p>
    <w:p w14:paraId="72645D2A">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9、参加法庭审理，进行法庭质证和法庭辩论；参与调解。</w:t>
      </w:r>
    </w:p>
    <w:p w14:paraId="55B5B40C">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10、提前介入潜在医疗争议，提出专业建议，评估风险，参与第三方调解或医患协商。</w:t>
      </w:r>
    </w:p>
    <w:p w14:paraId="526BB3F9">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11、开展临床科室律师查房，出具查房法律意见书；每年完成临床科室律师查房12次。原则上每月完成一次。</w:t>
      </w:r>
    </w:p>
    <w:p w14:paraId="57029A92">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12、开展临床科室法律培训，每年完成4次培训。原则上每三个月完成一次。</w:t>
      </w:r>
    </w:p>
    <w:p w14:paraId="47D17AC4">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13、协助临床科室建立医疗风险防范体系。</w:t>
      </w:r>
    </w:p>
    <w:p w14:paraId="1676D5F8">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14、提供日常医疗纠纷或临床法律咨询服务。</w:t>
      </w:r>
    </w:p>
    <w:p w14:paraId="5F51C4BA">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15、根据典型案例和热点案例与临床科室开展研讨分析沙龙。</w:t>
      </w:r>
    </w:p>
    <w:p w14:paraId="1AEDD262">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16、协助规范医务部常用法律文书模板和医疗纠纷处理流程。</w:t>
      </w:r>
    </w:p>
    <w:p w14:paraId="29413B58">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17、出具年度临床医疗风险报告。</w:t>
      </w:r>
    </w:p>
    <w:p w14:paraId="48695565">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18、针对医疗诉讼案件，在案件审结后参与纠纷科室案件讨论，配合科室梳理法律风险点。</w:t>
      </w:r>
    </w:p>
    <w:p w14:paraId="0EE3D098">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19、协助医院进行普法宣传，解读医院业务相关法律法规以及医院主管部门等发布的法规、政策、文件，必要时，根据医院要求进行逐条解读；解读典型案例等。</w:t>
      </w:r>
    </w:p>
    <w:p w14:paraId="62D536DF">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二）在医疗专项法律顾问服务合同有效期内医院发生的医疗纠纷通过诉讼解决时，顾问律师及律所不再收取医疗纠纷诉讼律师费。服务期满双方未续签医疗专项法律顾问服务合同的，顾问律师及律所在服务期限内代理的诉讼案件，在医院未变更授权的情况下，顾问律师及律所应完成该诉讼案件的全部代理工作(包括一审、二审、再审等)并不再另行收取律师费。</w:t>
      </w:r>
    </w:p>
    <w:p w14:paraId="4FB15F77">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三、服务要求</w:t>
      </w:r>
    </w:p>
    <w:p w14:paraId="565D878F">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为确保律师事务所的服务团队及相关律师能全面、及时、深入地与医院进行沟通，提供优质、高效的法律服务，特明确以下要求：</w:t>
      </w:r>
    </w:p>
    <w:p w14:paraId="3760622E">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1、对我单位的法律咨询及法律事务需在4小时内作出回应，紧急事务2小时内作出回应（包括口头答复）。需要提供书面法律意见的，应于48小时书面回复；</w:t>
      </w:r>
    </w:p>
    <w:p w14:paraId="56E36A98">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2、重大纠纷（刑事案件、危及医院员工人身安全的事件、严重医闹等）发生后，需要顾问团队紧急介入协助处理的，顾问团队接到通知后应派人及时到场，工作时间2小时内到场，非工作时间4小时内到场。</w:t>
      </w:r>
    </w:p>
    <w:p w14:paraId="27B320D8">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3、按年及时提交法律服务报告。</w:t>
      </w:r>
    </w:p>
    <w:p w14:paraId="7C38AB3B">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4、比选申请文件中为我单位配置的服务团队在没有征得我单位同意的情况下，不得擅自更换团队人员</w:t>
      </w:r>
    </w:p>
    <w:p w14:paraId="4C209F4A">
      <w:pPr>
        <w:widowControl/>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四、律所及团队成员要求</w:t>
      </w:r>
    </w:p>
    <w:p w14:paraId="355F23D5">
      <w:pPr>
        <w:widowControl/>
        <w:spacing w:line="560" w:lineRule="exact"/>
        <w:ind w:firstLine="600" w:firstLineChars="200"/>
        <w:rPr>
          <w:rFonts w:hint="default"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投标律师事务所成立时间5年以上，有不少于20名专职执业律师，在成都市内有常设机构及常驻工作人员。法律服务团队具有相关服务经验，并且至今未出现重大法律风险。法律服务团队为2-4人且具有稳定性，首席律师需执业15年以上，其他成员需执业5年以上。团队成员执业方向应为医疗卫生法律。</w:t>
      </w:r>
    </w:p>
    <w:p w14:paraId="62CD8142">
      <w:pPr>
        <w:widowControl/>
        <w:spacing w:line="560" w:lineRule="exact"/>
        <w:ind w:firstLine="600" w:firstLineChars="200"/>
        <w:rPr>
          <w:rFonts w:hint="default" w:ascii="Times New Roman" w:hAnsi="Times New Roman" w:eastAsia="仿宋_GB2312"/>
          <w:sz w:val="30"/>
          <w:szCs w:val="30"/>
          <w:lang w:val="en-US" w:eastAsia="zh-CN"/>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033385-CFC2-4881-B984-0F3E2AEA50F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embedRegular r:id="rId2" w:fontKey="{E2B7E78F-5C0A-4DA5-84B2-3F478D78231D}"/>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rsids>
    <w:rsidRoot w:val="00D31D50"/>
    <w:rsid w:val="00323B43"/>
    <w:rsid w:val="003D37D8"/>
    <w:rsid w:val="00426133"/>
    <w:rsid w:val="004358AB"/>
    <w:rsid w:val="008B7726"/>
    <w:rsid w:val="00D31D50"/>
    <w:rsid w:val="06C21164"/>
    <w:rsid w:val="091035AB"/>
    <w:rsid w:val="0BA4330E"/>
    <w:rsid w:val="123E4148"/>
    <w:rsid w:val="14DB7C14"/>
    <w:rsid w:val="1A2E2F5B"/>
    <w:rsid w:val="1DAA3708"/>
    <w:rsid w:val="2830670D"/>
    <w:rsid w:val="31FE7525"/>
    <w:rsid w:val="477261B2"/>
    <w:rsid w:val="48CC0E3F"/>
    <w:rsid w:val="50AD14C2"/>
    <w:rsid w:val="54DF4DD7"/>
    <w:rsid w:val="5A786312"/>
    <w:rsid w:val="5C077D09"/>
    <w:rsid w:val="5C45143A"/>
    <w:rsid w:val="68A93DDF"/>
    <w:rsid w:val="75876179"/>
    <w:rsid w:val="781647C9"/>
    <w:rsid w:val="7DD35241"/>
    <w:rsid w:val="7E810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tabs>
        <w:tab w:val="left" w:pos="1500"/>
      </w:tabs>
      <w:spacing w:line="360" w:lineRule="auto"/>
    </w:pPr>
    <w:rPr>
      <w:rFonts w:ascii="宋体" w:hAnsi="宋体"/>
      <w:sz w:val="24"/>
    </w:rPr>
  </w:style>
  <w:style w:type="paragraph" w:styleId="3">
    <w:name w:val="Quote"/>
    <w:basedOn w:val="1"/>
    <w:next w:val="1"/>
    <w:qFormat/>
    <w:uiPriority w:val="0"/>
    <w:rPr>
      <w:i/>
      <w:iCs/>
      <w:color w:val="000000"/>
      <w:szCs w:val="22"/>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Text1I2"/>
    <w:basedOn w:val="9"/>
    <w:qFormat/>
    <w:uiPriority w:val="0"/>
    <w:pPr>
      <w:spacing w:after="120"/>
      <w:ind w:left="420" w:leftChars="200" w:firstLine="420" w:firstLineChars="200"/>
      <w:jc w:val="both"/>
      <w:textAlignment w:val="baseline"/>
    </w:pPr>
    <w:rPr>
      <w:rFonts w:ascii="Times New Roman" w:hAnsi="Times New Roman" w:eastAsia="仿宋_GB2312" w:cs="Times New Roman"/>
      <w:szCs w:val="24"/>
      <w:lang w:eastAsia="en-US"/>
    </w:rPr>
  </w:style>
  <w:style w:type="paragraph" w:customStyle="1" w:styleId="9">
    <w:name w:val="BodyTextIndent"/>
    <w:basedOn w:val="1"/>
    <w:qFormat/>
    <w:uiPriority w:val="0"/>
    <w:pPr>
      <w:spacing w:after="120"/>
      <w:ind w:left="420" w:leftChars="200"/>
      <w:jc w:val="both"/>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2717</Words>
  <Characters>2782</Characters>
  <Lines>1</Lines>
  <Paragraphs>1</Paragraphs>
  <TotalTime>0</TotalTime>
  <ScaleCrop>false</ScaleCrop>
  <LinksUpToDate>false</LinksUpToDate>
  <CharactersWithSpaces>2782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刘青松</cp:lastModifiedBy>
  <cp:lastPrinted>2023-03-24T07:36:00Z</cp:lastPrinted>
  <dcterms:modified xsi:type="dcterms:W3CDTF">2026-03-23T06:25:06Z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9B49BADF3F56417DB93F3298A79C30B3</vt:lpwstr>
  </property>
  <property fmtid="{D5CDD505-2E9C-101B-9397-08002B2CF9AE}" pid="4" name="KSOTemplateDocerSaveRecord">
    <vt:lpwstr>eyJoZGlkIjoiOTA0ZmQyOThkODc4NGZmOTc1NGQyNDNlMmZkMDlkMWQiLCJ1c2VySWQiOiIxNjQzNDM5MzUwIn0=</vt:lpwstr>
  </property>
</Properties>
</file>