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附件1：</w:t>
      </w:r>
    </w:p>
    <w:p w14:paraId="5AC7C9D7">
      <w:pPr>
        <w:ind w:left="0" w:firstLine="0" w:firstLineChars="0"/>
        <w:jc w:val="center"/>
        <w:rPr>
          <w:rFonts w:hint="default" w:ascii="Times New Roman" w:hAnsi="Times New Roman" w:eastAsia="方正小标宋_GBK" w:cs="Times New Roman"/>
          <w:sz w:val="36"/>
          <w:szCs w:val="36"/>
        </w:rPr>
      </w:pPr>
      <w:r>
        <w:rPr>
          <w:rFonts w:hint="eastAsia" w:ascii="方正小标宋_GBK" w:hAnsi="方正小标宋_GBK" w:eastAsia="方正小标宋_GBK" w:cs="方正小标宋_GBK"/>
          <w:sz w:val="36"/>
          <w:szCs w:val="36"/>
          <w:lang w:val="en-US" w:eastAsia="zh-CN"/>
        </w:rPr>
        <w:t>成都中医药大学附属医院消防控制室合并项目概况</w:t>
      </w:r>
    </w:p>
    <w:p w14:paraId="71EF0D7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项目拟对我院第二住院楼消防控制室现有火灾报警控制器进行提档升级、维修更换；新购火灾报警控制器统一安装至治未病中心消防控制室。改造完成后，消防控制原有值守及联动控制功能保持不变，设备运行、系统联动均须符合国家现行消防规范及验收标准。</w:t>
      </w:r>
    </w:p>
    <w:p w14:paraId="2D9C1D2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方正黑体_GBK" w:hAnsi="方正黑体_GBK" w:eastAsia="方正黑体_GBK" w:cs="方正黑体_GBK"/>
          <w:sz w:val="30"/>
          <w:szCs w:val="30"/>
        </w:rPr>
      </w:pPr>
      <w:r>
        <w:rPr>
          <w:rFonts w:hint="default" w:ascii="方正黑体_GBK" w:hAnsi="方正黑体_GBK" w:eastAsia="方正黑体_GBK" w:cs="方正黑体_GBK"/>
          <w:sz w:val="30"/>
          <w:szCs w:val="30"/>
        </w:rPr>
        <w:t>一、第二住院楼消防控制室说明</w:t>
      </w:r>
    </w:p>
    <w:p w14:paraId="2B5D5A5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第二住院楼消防控制室位于大楼一层，建筑面积约 52㎡。室内现有北大青鸟立柜式消防主机 1 台、北大青鸟壁挂式分机 1 台；外部联网接入：配电房气体灭火主机 1 台、介入手术室气体灭火主机 1 台、CT 室气体灭火主机 2 台、4 号楼 1 层配电室气体灭火主机 1 台，另配置相关监控主机若干台。</w:t>
      </w:r>
    </w:p>
    <w:p w14:paraId="4766FD1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方正黑体_GBK" w:hAnsi="方正黑体_GBK" w:eastAsia="方正黑体_GBK" w:cs="方正黑体_GBK"/>
          <w:sz w:val="30"/>
          <w:szCs w:val="30"/>
        </w:rPr>
      </w:pPr>
      <w:r>
        <w:rPr>
          <w:rFonts w:hint="default" w:ascii="方正黑体_GBK" w:hAnsi="方正黑体_GBK" w:eastAsia="方正黑体_GBK" w:cs="方正黑体_GBK"/>
          <w:sz w:val="30"/>
          <w:szCs w:val="30"/>
        </w:rPr>
        <w:t>二、治未病中心消防控制室说明</w:t>
      </w:r>
    </w:p>
    <w:p w14:paraId="2AB9C21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治未病中心消防控制室位于大楼一层，建筑面积约 45㎡。室内现有消防主机 1 台、壁挂式应急柜主机 1 台、应急电源柜 1 台；外部联网接入：传承创新大楼消防主机 1 台、第三住院楼消防主机 1 台、隔离病房消防主机 1 台、治未病中心负一层气体灭火主机 2 台。火灾自动报警及灭火系统监控覆盖治未病中心大楼、传承创新大楼、第三住院楼、隔离病房等区域。</w:t>
      </w:r>
    </w:p>
    <w:p w14:paraId="5A299D1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p>
    <w:p w14:paraId="5CF01A9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p>
    <w:p w14:paraId="2A054EC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方正黑体_GBK" w:hAnsi="方正黑体_GBK" w:eastAsia="方正黑体_GBK" w:cs="方正黑体_GBK"/>
          <w:sz w:val="30"/>
          <w:szCs w:val="30"/>
        </w:rPr>
        <w:t>三、</w:t>
      </w:r>
      <w:r>
        <w:rPr>
          <w:rFonts w:hint="eastAsia" w:ascii="方正黑体_GBK" w:hAnsi="方正黑体_GBK" w:eastAsia="方正黑体_GBK" w:cs="方正黑体_GBK"/>
          <w:sz w:val="30"/>
          <w:szCs w:val="30"/>
          <w:lang w:val="en-US" w:eastAsia="zh-CN"/>
        </w:rPr>
        <w:t>项目</w:t>
      </w:r>
      <w:r>
        <w:rPr>
          <w:rFonts w:hint="default" w:ascii="方正黑体_GBK" w:hAnsi="方正黑体_GBK" w:eastAsia="方正黑体_GBK" w:cs="方正黑体_GBK"/>
          <w:sz w:val="30"/>
          <w:szCs w:val="30"/>
        </w:rPr>
        <w:t>说明</w:t>
      </w:r>
    </w:p>
    <w:p w14:paraId="1E5D64A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（一）项目方案须符合《火灾自动报警系统设计规范》（GB50116-2013）、《火灾自动报警系统施工及验收标准》（GB50166-2019）及国家相关消防行业标准要求。</w:t>
      </w:r>
    </w:p>
    <w:p w14:paraId="6E5C8AB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二）安装完成后，治未病中心消防控制室运行须符合《消防控制室通用技术要求》（GB25506-2010），确保集中火灾报警控制器、联动控制器、图形显示器、消防电话、消防广播等所有硬件设备正常运行；实现原第二住院楼立柜式消防主机信息完整平移，并完成原壁挂式分机数据的合并整合，保障系统联动无误、数据传输畅通。</w:t>
      </w:r>
    </w:p>
    <w:p w14:paraId="560BAB8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（三）本项目实行总承包模式，承包单位不得转包、违法分包，须严格落实《房屋建筑和市政基础设施项目工程总承包管理办法》相关规定。</w:t>
      </w:r>
    </w:p>
    <w:p w14:paraId="571CD9D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（四）本项目可申请现场实地踏勘，有意参与调研的单位须结合现场实际工况，就项目实施提供专业技术优化意见，并报送完成本项目所需的完整综合报价。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6688"/>
    <w:rsid w:val="0B145643"/>
    <w:rsid w:val="3BA231CC"/>
    <w:rsid w:val="582406B3"/>
    <w:rsid w:val="5998032C"/>
    <w:rsid w:val="5C25451B"/>
    <w:rsid w:val="692B1882"/>
    <w:rsid w:val="7A5D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710</Characters>
  <Lines>0</Lines>
  <Paragraphs>0</Paragraphs>
  <TotalTime>9</TotalTime>
  <ScaleCrop>false</ScaleCrop>
  <LinksUpToDate>false</LinksUpToDate>
  <CharactersWithSpaces>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50379</dc:creator>
  <cp:lastModifiedBy>铺盖面</cp:lastModifiedBy>
  <dcterms:modified xsi:type="dcterms:W3CDTF">2026-05-15T04:28:36Z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eyJoZGlkIjoiMWU5OGRiYTlmOGNiNzVjZDNlNGYzZjI2MTRmMWMxNGEiLCJ1c2VySWQiOiIyNzMyOTc2MzAifQ==</vt:lpwstr>
  </property>
  <property fmtid="{D5CDD505-2E9C-101B-9397-08002B2CF9AE}" pid="4" name="ICV">
    <vt:lpwstr>51C99B56F3034159B4B0FB434DF03D95_12</vt:lpwstr>
  </property>
</Properties>
</file>