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D5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500" w:lineRule="exact"/>
        <w:ind w:left="0"/>
        <w:jc w:val="center"/>
        <w:textAlignment w:val="auto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成都中医药大学附属医院2026年其他危险废物处置</w:t>
      </w:r>
    </w:p>
    <w:p w14:paraId="229BC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88" w:lineRule="auto"/>
        <w:ind w:left="0"/>
        <w:jc w:val="center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服务方案</w:t>
      </w:r>
    </w:p>
    <w:p w14:paraId="31A62177">
      <w:pPr>
        <w:spacing w:before="120" w:after="120" w:line="288" w:lineRule="auto"/>
        <w:ind w:left="0"/>
        <w:jc w:val="left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项目名称：2026 年度其他危险废物处置服务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服务地点：成都中医药大学附属医院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适用范围：本院非医疗类其他危险废物全流程处置服务</w:t>
      </w:r>
    </w:p>
    <w:p w14:paraId="69A8D2D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00" w:lineRule="exact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0" w:name="heading_0"/>
      <w:r>
        <w:rPr>
          <w:rFonts w:hint="eastAsia" w:ascii="楷体" w:hAnsi="楷体" w:eastAsia="楷体" w:cs="楷体"/>
          <w:b w:val="0"/>
          <w:bCs/>
          <w:sz w:val="28"/>
          <w:szCs w:val="28"/>
        </w:rPr>
        <w:t>一、项目概述</w:t>
      </w:r>
      <w:bookmarkEnd w:id="0"/>
    </w:p>
    <w:p w14:paraId="7C950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依据《中华人民共和国环境保护法》《危险化学品安全管理条例》《危险废物转移联单管理办法》《国家危险废物名录（2025 版）》等法律法规及相关标准规范，对本院在生产经营过程中产生的非医疗类其他危险废物（含包装物），提供分类包装、上门收集、专用运输、转移联单办理、无害化处置、台账备案、应急处置一体化全流程服务，确保全程合法合规、零泄漏、零污染、零安全事故。</w:t>
      </w:r>
    </w:p>
    <w:p w14:paraId="6EB908A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00" w:lineRule="exact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1" w:name="heading_1"/>
      <w:r>
        <w:rPr>
          <w:rFonts w:hint="eastAsia" w:ascii="楷体" w:hAnsi="楷体" w:eastAsia="楷体" w:cs="楷体"/>
          <w:b w:val="0"/>
          <w:bCs/>
          <w:sz w:val="28"/>
          <w:szCs w:val="28"/>
        </w:rPr>
        <w:t>二、服务内容</w:t>
      </w:r>
      <w:bookmarkEnd w:id="1"/>
    </w:p>
    <w:p w14:paraId="67A29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负责本院各类其他危险废物（含包装物）的规范分类收集、安全装卸、密闭转运、无害化处置、危险废物转移联单填报与备案、台账管理、应急处置、环保手续办理等全部相关工作。</w:t>
      </w:r>
    </w:p>
    <w:p w14:paraId="2C5E143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00" w:lineRule="exact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2" w:name="heading_2"/>
      <w:r>
        <w:rPr>
          <w:rFonts w:hint="eastAsia" w:ascii="楷体" w:hAnsi="楷体" w:eastAsia="楷体" w:cs="楷体"/>
          <w:b w:val="0"/>
          <w:bCs/>
          <w:sz w:val="28"/>
          <w:szCs w:val="28"/>
        </w:rPr>
        <w:t>三、服务要求</w:t>
      </w:r>
      <w:bookmarkEnd w:id="2"/>
    </w:p>
    <w:p w14:paraId="6E7E388F">
      <w:pPr>
        <w:spacing w:before="300" w:after="120" w:line="288" w:lineRule="auto"/>
        <w:ind w:left="0"/>
        <w:jc w:val="left"/>
        <w:outlineLvl w:val="2"/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3" w:name="heading_3"/>
      <w:r>
        <w:rPr>
          <w:rFonts w:hint="eastAsia" w:ascii="楷体" w:hAnsi="楷体" w:eastAsia="楷体" w:cs="楷体"/>
          <w:b w:val="0"/>
          <w:bCs/>
          <w:sz w:val="28"/>
          <w:szCs w:val="28"/>
        </w:rPr>
        <w:t>（一）处置危废品类、特性及预估量</w:t>
      </w:r>
      <w:bookmarkEnd w:id="3"/>
    </w:p>
    <w:p w14:paraId="4C188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实际结算金额以实际产生量为准，据实结算。</w:t>
      </w:r>
    </w:p>
    <w:tbl>
      <w:tblPr>
        <w:tblStyle w:val="5"/>
        <w:tblW w:w="4265" w:type="pct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99"/>
        <w:gridCol w:w="1777"/>
        <w:gridCol w:w="1106"/>
        <w:gridCol w:w="1726"/>
        <w:gridCol w:w="1809"/>
      </w:tblGrid>
      <w:tr w14:paraId="6338E09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7" w:hRule="atLeast"/>
        </w:trPr>
        <w:tc>
          <w:tcPr>
            <w:tcW w:w="12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5E210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危废名称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208748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危废代码</w:t>
            </w:r>
          </w:p>
        </w:tc>
        <w:tc>
          <w:tcPr>
            <w:tcW w:w="64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05EF49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危废</w:t>
            </w:r>
          </w:p>
          <w:p w14:paraId="236476C9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形态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520296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包装方式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FE7D01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预估处置量（kg）</w:t>
            </w:r>
          </w:p>
        </w:tc>
      </w:tr>
      <w:tr w14:paraId="29E7743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9" w:hRule="atLeast"/>
        </w:trPr>
        <w:tc>
          <w:tcPr>
            <w:tcW w:w="12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69CFC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实验室废液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9EAAB2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900-047-49</w:t>
            </w:r>
          </w:p>
        </w:tc>
        <w:tc>
          <w:tcPr>
            <w:tcW w:w="64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6FE53C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液态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FFAE36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密封桶装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36B269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1080</w:t>
            </w:r>
          </w:p>
        </w:tc>
      </w:tr>
      <w:tr w14:paraId="5CC2422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9" w:hRule="atLeast"/>
        </w:trPr>
        <w:tc>
          <w:tcPr>
            <w:tcW w:w="12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7B71A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在线监测废液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189A82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900-047-49</w:t>
            </w:r>
          </w:p>
        </w:tc>
        <w:tc>
          <w:tcPr>
            <w:tcW w:w="64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BA35FF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液态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4A4B48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密封桶装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F73D22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300</w:t>
            </w:r>
          </w:p>
        </w:tc>
      </w:tr>
      <w:tr w14:paraId="2874DF0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9" w:hRule="atLeast"/>
        </w:trPr>
        <w:tc>
          <w:tcPr>
            <w:tcW w:w="12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D2EC74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废弃活性炭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1353A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900-039-49</w:t>
            </w:r>
          </w:p>
        </w:tc>
        <w:tc>
          <w:tcPr>
            <w:tcW w:w="64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EE353B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固态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DAC693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密封箱装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1CFB82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300</w:t>
            </w:r>
          </w:p>
        </w:tc>
      </w:tr>
      <w:tr w14:paraId="2231E81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0" w:hRule="atLeast"/>
        </w:trPr>
        <w:tc>
          <w:tcPr>
            <w:tcW w:w="12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034B71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试剂空瓶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60D5A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900-041-49</w:t>
            </w:r>
          </w:p>
        </w:tc>
        <w:tc>
          <w:tcPr>
            <w:tcW w:w="64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F1FDCC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固态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9D3B20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密封箱装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338894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25</w:t>
            </w:r>
          </w:p>
        </w:tc>
      </w:tr>
      <w:tr w14:paraId="12569E9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9" w:hRule="atLeast"/>
        </w:trPr>
        <w:tc>
          <w:tcPr>
            <w:tcW w:w="12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8CD43D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废乙醇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71C010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900-402-06</w:t>
            </w:r>
          </w:p>
        </w:tc>
        <w:tc>
          <w:tcPr>
            <w:tcW w:w="64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49AFAE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液态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16229C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密封桶装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CB894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500</w:t>
            </w:r>
          </w:p>
        </w:tc>
      </w:tr>
      <w:tr w14:paraId="63B8361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9" w:hRule="atLeast"/>
        </w:trPr>
        <w:tc>
          <w:tcPr>
            <w:tcW w:w="12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6E9816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过期化学品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C4C4FB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900-999-49</w:t>
            </w:r>
          </w:p>
        </w:tc>
        <w:tc>
          <w:tcPr>
            <w:tcW w:w="64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03A91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固态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6062C4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密封桶装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B8CCC4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23</w:t>
            </w:r>
          </w:p>
        </w:tc>
      </w:tr>
      <w:tr w14:paraId="25E3D0C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12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A5CA9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废弃含汞灯管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85BD13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900-023-29</w:t>
            </w:r>
          </w:p>
        </w:tc>
        <w:tc>
          <w:tcPr>
            <w:tcW w:w="64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1BDCE8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固态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E9B2B6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密封袋装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0621DB"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200</w:t>
            </w:r>
          </w:p>
        </w:tc>
      </w:tr>
    </w:tbl>
    <w:p w14:paraId="6DB493BD">
      <w:pPr>
        <w:spacing w:before="300" w:after="120" w:line="288" w:lineRule="auto"/>
        <w:ind w:left="0"/>
        <w:jc w:val="left"/>
        <w:outlineLvl w:val="2"/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4" w:name="heading_4"/>
      <w:r>
        <w:rPr>
          <w:rFonts w:hint="eastAsia" w:ascii="楷体" w:hAnsi="楷体" w:eastAsia="楷体" w:cs="楷体"/>
          <w:b w:val="0"/>
          <w:bCs/>
          <w:sz w:val="28"/>
          <w:szCs w:val="28"/>
        </w:rPr>
        <w:t>（二）供应商资质要求</w:t>
      </w:r>
      <w:bookmarkEnd w:id="4"/>
    </w:p>
    <w:p w14:paraId="196CD0DA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持有有效危险废物经营许可证，核准经营类别完整覆盖上述所有危废及对应代码，许可证有效期覆盖服务期 + 3 个月以上。</w:t>
      </w:r>
    </w:p>
    <w:p w14:paraId="477C131A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持有道路运输经营许可证（经营范围含危险货物运输），或与具备该资质的运输公司签订有效、权责清晰的合作协议，协议有效期覆盖服务期 + 3 个月以上。</w:t>
      </w:r>
    </w:p>
    <w:p w14:paraId="2650C97E"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  <w:t>车辆驾驶员具备道路危险货物运输驾驶员从业资格证书，押运员具备道路危险货物押运员从业资格证书。</w:t>
      </w:r>
    </w:p>
    <w:p w14:paraId="34438C9C"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  <w:t>中标供应商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须购买环境污染责任险及第三者责任险，并提供有效保单复印件加盖公章。</w:t>
      </w:r>
    </w:p>
    <w:p w14:paraId="59204002">
      <w:pPr>
        <w:spacing w:before="300" w:after="120" w:line="288" w:lineRule="auto"/>
        <w:ind w:left="0"/>
        <w:jc w:val="left"/>
        <w:outlineLvl w:val="2"/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5" w:name="heading_5"/>
      <w:r>
        <w:rPr>
          <w:rFonts w:hint="eastAsia" w:ascii="楷体" w:hAnsi="楷体" w:eastAsia="楷体" w:cs="楷体"/>
          <w:b w:val="0"/>
          <w:bCs/>
          <w:sz w:val="28"/>
          <w:szCs w:val="28"/>
        </w:rPr>
        <w:t>（三）处置与响应时效要求</w:t>
      </w:r>
      <w:bookmarkEnd w:id="5"/>
    </w:p>
    <w:p w14:paraId="357A53F4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严格按照国家环保法律法规实施无害化、资源化处置，严禁非法转移、倾倒、倒卖、处置危险废物。</w:t>
      </w:r>
    </w:p>
    <w:p w14:paraId="7BD558A5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常规转运响应：医院提出服务需求后48 小时内上门服务，最长不超过 7 个工作日。</w:t>
      </w:r>
    </w:p>
    <w:p w14:paraId="1F1C0ECD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应急处置响应：发生泄漏、遗撒、溢出等突发情况，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小时内人员到场，24 小时内完成应急处置。</w:t>
      </w:r>
    </w:p>
    <w:p w14:paraId="2DE4DAEE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装卸、运输、储存、处置全过程安全、环保、法律责任由供应商全额承担，包含事故处理、环境检测、现场清理、行政处罚、第三方赔偿等全部费用与责任。</w:t>
      </w:r>
    </w:p>
    <w:p w14:paraId="387D4CDA">
      <w:pPr>
        <w:spacing w:before="300" w:after="120" w:line="288" w:lineRule="auto"/>
        <w:ind w:left="0"/>
        <w:jc w:val="left"/>
        <w:outlineLvl w:val="2"/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6" w:name="heading_6"/>
      <w:r>
        <w:rPr>
          <w:rFonts w:hint="eastAsia" w:ascii="楷体" w:hAnsi="楷体" w:eastAsia="楷体" w:cs="楷体"/>
          <w:b w:val="0"/>
          <w:bCs/>
          <w:sz w:val="28"/>
          <w:szCs w:val="28"/>
        </w:rPr>
        <w:t>（四）现场操作与运输管理要求</w:t>
      </w:r>
      <w:bookmarkEnd w:id="6"/>
    </w:p>
    <w:p w14:paraId="6D53C0D4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供应商自备符合规范的劳动防护用品、专业装卸工具及应急器材，严格遵守医院安全环保管理规定。</w:t>
      </w:r>
    </w:p>
    <w:p w14:paraId="3547CB7B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双方工作人员现场交接、共同确认危废种类、重量与状态，如实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在无废四川申报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危险废物转移联单，处置完成后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5 个工作日内将完整联单返还医院备案。</w:t>
      </w:r>
    </w:p>
    <w:p w14:paraId="18822FBD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运输车辆必须为危险废物专用运输车辆，安装 GPS 定位系统，全程轨迹可查、可留存；不得混装其他货物、不得超载、不得搭载无关人员。</w:t>
      </w:r>
    </w:p>
    <w:p w14:paraId="3DA2E033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运输车辆进出院区须保持干净整洁，不得造成二次污染，院内转运路线严格按照医院指定路线执行。</w:t>
      </w:r>
    </w:p>
    <w:p w14:paraId="22ABEA0C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供应商须免费为医院提供危废暂存、分类、标签张贴、台账记录的专业指导与培训。</w:t>
      </w:r>
      <w:bookmarkStart w:id="13" w:name="_GoBack"/>
      <w:bookmarkEnd w:id="13"/>
    </w:p>
    <w:p w14:paraId="0B68F15C">
      <w:pPr>
        <w:spacing w:before="300" w:after="120" w:line="288" w:lineRule="auto"/>
        <w:ind w:left="0"/>
        <w:jc w:val="left"/>
        <w:outlineLvl w:val="2"/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7" w:name="heading_7"/>
      <w:r>
        <w:rPr>
          <w:rFonts w:hint="eastAsia" w:ascii="楷体" w:hAnsi="楷体" w:eastAsia="楷体" w:cs="楷体"/>
          <w:b w:val="0"/>
          <w:bCs/>
          <w:sz w:val="28"/>
          <w:szCs w:val="28"/>
        </w:rPr>
        <w:t>（五）应急预案要求</w:t>
      </w:r>
      <w:bookmarkEnd w:id="7"/>
    </w:p>
    <w:p w14:paraId="2C532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供应商须针对本院实际情况制定专项应急处置预案，预案须明确：</w:t>
      </w:r>
    </w:p>
    <w:p w14:paraId="27F6D8B1"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各环节管理责任人及 24 小时联系电话；</w:t>
      </w:r>
    </w:p>
    <w:p w14:paraId="55E9CD7B"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泄漏、遗撒、火灾、爆炸等意外事故情形及对应处置措施；</w:t>
      </w:r>
    </w:p>
    <w:p w14:paraId="1D66A328"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按要求配置应急装备、应急物资及个人防护用品。</w:t>
      </w:r>
    </w:p>
    <w:p w14:paraId="32AAB66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00" w:lineRule="exact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8" w:name="heading_8"/>
      <w:r>
        <w:rPr>
          <w:rFonts w:hint="eastAsia" w:ascii="楷体" w:hAnsi="楷体" w:eastAsia="楷体" w:cs="楷体"/>
          <w:b w:val="0"/>
          <w:bCs/>
          <w:sz w:val="28"/>
          <w:szCs w:val="28"/>
        </w:rPr>
        <w:t>四、服务期限</w:t>
      </w:r>
      <w:bookmarkEnd w:id="8"/>
    </w:p>
    <w:p w14:paraId="084DC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自合同签订之日起一年。</w:t>
      </w:r>
    </w:p>
    <w:p w14:paraId="7A001C7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00" w:lineRule="exact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9" w:name="heading_9"/>
      <w:r>
        <w:rPr>
          <w:rFonts w:hint="eastAsia" w:ascii="楷体" w:hAnsi="楷体" w:eastAsia="楷体" w:cs="楷体"/>
          <w:b w:val="0"/>
          <w:bCs/>
          <w:sz w:val="28"/>
          <w:szCs w:val="28"/>
        </w:rPr>
        <w:t>五、考核与结算</w:t>
      </w:r>
      <w:bookmarkEnd w:id="9"/>
    </w:p>
    <w:p w14:paraId="6EFE09B8">
      <w:pPr>
        <w:spacing w:before="300" w:after="120" w:line="288" w:lineRule="auto"/>
        <w:ind w:left="0"/>
        <w:jc w:val="left"/>
        <w:outlineLvl w:val="2"/>
        <w:rPr>
          <w:rFonts w:hint="default" w:ascii="楷体" w:hAnsi="楷体" w:eastAsia="楷体" w:cs="楷体"/>
          <w:b w:val="0"/>
          <w:bCs/>
          <w:sz w:val="28"/>
          <w:szCs w:val="28"/>
          <w:lang w:val="en-US" w:eastAsia="zh-CN"/>
        </w:rPr>
      </w:pPr>
      <w:bookmarkStart w:id="10" w:name="heading_10"/>
      <w:r>
        <w:rPr>
          <w:rFonts w:hint="eastAsia" w:ascii="楷体" w:hAnsi="楷体" w:eastAsia="楷体" w:cs="楷体"/>
          <w:b w:val="0"/>
          <w:bCs/>
          <w:sz w:val="28"/>
          <w:szCs w:val="28"/>
        </w:rPr>
        <w:t>（一）考核方式</w:t>
      </w:r>
      <w:bookmarkEnd w:id="10"/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及内容</w:t>
      </w:r>
    </w:p>
    <w:p w14:paraId="797BB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每次转运服务完成后，医院对供应商规范化服务情况进行综合考核，考核记录经双方签字确认后，作为当次结算依据。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内容详见附件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《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其他危险废物处置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服务质量考核表》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</w:p>
    <w:p w14:paraId="7FE5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jc w:val="left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考核结果应用：季度综合考核情况与当季度服务费支付挂钩。综合考核平均分为90分及以上为优秀，不进行考核扣款；80-89分为合格，以89分为基准分数，每降低1分扣100元；70-79分为基本合格，以79分为基准分数，每降低1分扣200元；70分（不含）以下为不合格，以69分为基准分数，每降低1分扣1000元，后勤保障部以书面形式向乙方发放工作函，要求乙方3天内提交整改函。考核结果较重程度扣款与较轻程度扣款累加计算。其中，考核不合格（70分以下）的，供应商提交的整改函需明确整改措施、整改时限（最长不超过7个工作日）、责任人，医院后勤保障部对整改情况进行复核，复核不合格的，医院可再次扣款，并有权终止合同。每季度考核结束后，医院后勤保障部需在3个工作日内将考核结果、扣分明细书面告知供应商，供应商对考核结果有异议的，可在5个工作日内提交书面申诉，医院需在7个工作日内予以答复。</w:t>
      </w:r>
    </w:p>
    <w:p w14:paraId="328DCA02">
      <w:pPr>
        <w:spacing w:before="300" w:after="120" w:line="288" w:lineRule="auto"/>
        <w:ind w:left="0"/>
        <w:jc w:val="left"/>
        <w:outlineLvl w:val="2"/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11" w:name="heading_11"/>
      <w:r>
        <w:rPr>
          <w:rFonts w:hint="eastAsia" w:ascii="楷体" w:hAnsi="楷体" w:eastAsia="楷体" w:cs="楷体"/>
          <w:b w:val="0"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）结算公式</w:t>
      </w:r>
      <w:bookmarkEnd w:id="11"/>
    </w:p>
    <w:p w14:paraId="3CBD0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当次处置服务费 = 实际处置量 × 处置单价－考核扣款</w:t>
      </w:r>
    </w:p>
    <w:p w14:paraId="7C7BAA0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00" w:lineRule="exact"/>
        <w:textAlignment w:val="auto"/>
        <w:rPr>
          <w:rFonts w:hint="eastAsia" w:ascii="楷体" w:hAnsi="楷体" w:eastAsia="楷体" w:cs="楷体"/>
          <w:b/>
          <w:sz w:val="28"/>
          <w:szCs w:val="28"/>
        </w:rPr>
      </w:pPr>
      <w:bookmarkStart w:id="12" w:name="heading_13"/>
      <w:r>
        <w:rPr>
          <w:rFonts w:hint="eastAsia" w:ascii="楷体" w:hAnsi="楷体" w:eastAsia="楷体" w:cs="楷体"/>
          <w:b/>
          <w:sz w:val="28"/>
          <w:szCs w:val="28"/>
        </w:rPr>
        <w:t>六、其他约定条款</w:t>
      </w:r>
      <w:bookmarkEnd w:id="12"/>
    </w:p>
    <w:p w14:paraId="30003D9B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供应商报价为全包价，包含：收集、装卸、运输、处置、包装、联单、培训、保险、税费等所有相关费用，服务期内不得另行收取任何费用。</w:t>
      </w:r>
    </w:p>
    <w:p w14:paraId="354E6DA3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因供应商违规、操作不当导致医院被监管部门处罚、被第三方索赔的，由供应商全额赔偿医院全部损失。</w:t>
      </w:r>
    </w:p>
    <w:p w14:paraId="28099649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关键危险废物双方共同留样，样品保存期限不少于 6 个月，用于争议溯源与核查。</w:t>
      </w:r>
    </w:p>
    <w:p w14:paraId="153D0F12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rFonts w:hint="eastAsia" w:ascii="楷体" w:hAnsi="楷体" w:eastAsia="楷体" w:cs="楷体"/>
          <w:sz w:val="28"/>
          <w:szCs w:val="28"/>
        </w:rPr>
        <w:sectPr>
          <w:headerReference r:id="rId3" w:type="default"/>
          <w:footerReference r:id="rId4" w:type="default"/>
          <w:pgSz w:w="11905" w:h="16840"/>
          <w:pgMar w:top="1440" w:right="1080" w:bottom="1440" w:left="10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楷体" w:hAnsi="楷体" w:eastAsia="楷体" w:cs="楷体"/>
          <w:sz w:val="28"/>
          <w:szCs w:val="28"/>
        </w:rPr>
        <w:t>合同履行过程中发生争议，双方友好协商解决；协商不成的，提交医院所在地人民法院诉讼解决。</w:t>
      </w:r>
    </w:p>
    <w:p w14:paraId="5DFA8951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附件：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其他危险废物处置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服务质量考核表</w:t>
      </w:r>
    </w:p>
    <w:tbl>
      <w:tblPr>
        <w:tblStyle w:val="5"/>
        <w:tblW w:w="0" w:type="auto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19"/>
        <w:gridCol w:w="1387"/>
        <w:gridCol w:w="970"/>
        <w:gridCol w:w="1909"/>
      </w:tblGrid>
      <w:tr w14:paraId="4A16BB1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90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F4EDE2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考核内容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B955F2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分值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B750F2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得分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20CD93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备注</w:t>
            </w:r>
          </w:p>
        </w:tc>
      </w:tr>
      <w:tr w14:paraId="5009DDB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13A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供应商服务人员仪表不整洁，不佩戴工作牌（工作牌需注明姓名、岗位、供应商名称），不文明语言或行为（含喧哗、随意进入非作业区域），在医院院内吸烟、喝酒等。违反一次扣2分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79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5A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89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8E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79D0397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29A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服务过程中出现与医护人员、患者纠纷。违反一次扣2分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40A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567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89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18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24AE55E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98C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服务过程未采取防护措施，造成医院公共设施设备污垢或污渍的。违反一次扣5分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75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76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89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FE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46F68D0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76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院内转运未按采购人指定的路线进行转运。违反一次扣5分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7B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AC0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89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C9D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5685936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6A0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施工完成后未打扫施工现场周边环境卫生，对周边现场进行消毒处理。违反一次扣5分。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C8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default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3E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89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60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3AD15BC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59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对医院管理部门提出突发应急情况未及时响应处理。违反一次扣5分。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483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B9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89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E5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5255B04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8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未完成危险废物转移、处置等相关手续申报，未按时提交转移联单。违反一次扣20分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A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20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0AC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89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8AE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2469FB7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CC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 xml:space="preserve">项目负责人岗位职责、工作能力、工作效率、工作态度等日常服务情况是否达到要求，未达到一次扣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 xml:space="preserve"> 分，扣完为止。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B0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default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2CA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89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42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2204F3F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B44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0AF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34B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89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CA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</w:tbl>
    <w:p w14:paraId="6C457470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</w:p>
    <w:sectPr>
      <w:pgSz w:w="11905" w:h="16840"/>
      <w:pgMar w:top="1440" w:right="1080" w:bottom="1440" w:left="10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129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52E5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rFonts w:hint="default"/>
        <w:color w:val="auto"/>
      </w:rPr>
    </w:lvl>
  </w:abstractNum>
  <w:abstractNum w:abstractNumId="1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rFonts w:hint="default"/>
        <w:color w:val="auto"/>
      </w:rPr>
    </w:lvl>
  </w:abstractNum>
  <w:abstractNum w:abstractNumId="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rFonts w:hint="default"/>
        <w:color w:val="auto"/>
      </w:rPr>
    </w:lvl>
  </w:abstractNum>
  <w:abstractNum w:abstractNumId="3">
    <w:nsid w:val="DCBA6B53"/>
    <w:multiLevelType w:val="singleLevel"/>
    <w:tmpl w:val="DCBA6B53"/>
    <w:lvl w:ilvl="0" w:tentative="0">
      <w:start w:val="1"/>
      <w:numFmt w:val="decimal"/>
      <w:lvlText w:val="%1."/>
      <w:lvlJc w:val="left"/>
      <w:rPr>
        <w:rFonts w:hint="default"/>
        <w:color w:val="auto"/>
      </w:rPr>
    </w:lvl>
  </w:abstractNum>
  <w:abstractNum w:abstractNumId="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hint="default"/>
        <w:color w:val="auto"/>
      </w:rPr>
    </w:lvl>
  </w:abstractNum>
  <w:abstractNum w:abstractNumId="5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rFonts w:hint="default"/>
        <w:color w:val="auto"/>
      </w:rPr>
    </w:lvl>
  </w:abstractNum>
  <w:abstractNum w:abstractNumId="6">
    <w:nsid w:val="4D4DC07F"/>
    <w:multiLevelType w:val="singleLevel"/>
    <w:tmpl w:val="4D4DC07F"/>
    <w:lvl w:ilvl="0" w:tentative="0">
      <w:start w:val="1"/>
      <w:numFmt w:val="decimal"/>
      <w:lvlText w:val="%1."/>
      <w:lvlJc w:val="left"/>
      <w:rPr>
        <w:rFonts w:hint="default"/>
        <w:color w:val="auto"/>
      </w:rPr>
    </w:lvl>
  </w:abstractNum>
  <w:abstractNum w:abstractNumId="7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rFonts w:hint="default"/>
        <w:color w:val="auto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D5399"/>
    <w:rsid w:val="5C7C4443"/>
    <w:rsid w:val="7FDF2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2373</Words>
  <Characters>2497</Characters>
  <TotalTime>8</TotalTime>
  <ScaleCrop>false</ScaleCrop>
  <LinksUpToDate>false</LinksUpToDate>
  <CharactersWithSpaces>2523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2026-05-09T01:08:00Z</dcterms:created>
  <dc:creator>Apache POI</dc:creator>
  <cp:lastModifiedBy>Administrator</cp:lastModifiedBy>
  <dcterms:modified xsi:type="dcterms:W3CDTF">2026-05-12T02:20:01Z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eyJoZGlkIjoiZGQwMWE3YjEzMTRlNDIwMjAxYmQ2Y2JkNThjZTc1NjUiLCJ1c2VySWQiOiIxNjQ5MDE4MDE3In0=</vt:lpwstr>
  </property>
  <property fmtid="{D5CDD505-2E9C-101B-9397-08002B2CF9AE}" pid="3" name="KSOProductBuildVer">
    <vt:lpwstr>2052-12.1.0.25225</vt:lpwstr>
  </property>
  <property fmtid="{D5CDD505-2E9C-101B-9397-08002B2CF9AE}" pid="4" name="ICV">
    <vt:lpwstr>E7E6F7ECE5144DCD8DF10DEE57C3E438_13</vt:lpwstr>
  </property>
</Properties>
</file>