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28970">
      <w:pPr>
        <w:keepNext w:val="0"/>
        <w:keepLines w:val="0"/>
        <w:pageBreakBefore w:val="0"/>
        <w:widowControl w:val="0"/>
        <w:kinsoku/>
        <w:wordWrap/>
        <w:overflowPunct/>
        <w:topLinePunct w:val="0"/>
        <w:autoSpaceDE/>
        <w:autoSpaceDN/>
        <w:bidi w:val="0"/>
        <w:adjustRightInd/>
        <w:snapToGrid/>
        <w:spacing w:before="0" w:beforeLines="50" w:after="0" w:afterLines="50" w:line="500" w:lineRule="exact"/>
        <w:jc w:val="center"/>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成都中医药大学附属医院2026年医疗污泥处</w:t>
      </w:r>
      <w:r>
        <w:rPr>
          <w:rFonts w:hint="eastAsia" w:ascii="楷体" w:hAnsi="楷体" w:eastAsia="楷体" w:cs="楷体"/>
          <w:b/>
          <w:color w:val="auto"/>
          <w:sz w:val="32"/>
          <w:szCs w:val="32"/>
          <w:lang w:val="en-US" w:eastAsia="zh-CN"/>
        </w:rPr>
        <w:t>理技术服务</w:t>
      </w:r>
      <w:r>
        <w:rPr>
          <w:rFonts w:hint="eastAsia" w:ascii="楷体" w:hAnsi="楷体" w:eastAsia="楷体" w:cs="楷体"/>
          <w:b/>
          <w:color w:val="auto"/>
          <w:sz w:val="32"/>
          <w:szCs w:val="32"/>
        </w:rPr>
        <w:t>项目</w:t>
      </w:r>
    </w:p>
    <w:p w14:paraId="294F4687">
      <w:pPr>
        <w:keepNext w:val="0"/>
        <w:keepLines w:val="0"/>
        <w:pageBreakBefore w:val="0"/>
        <w:widowControl w:val="0"/>
        <w:kinsoku/>
        <w:wordWrap/>
        <w:overflowPunct/>
        <w:topLinePunct w:val="0"/>
        <w:autoSpaceDE/>
        <w:autoSpaceDN/>
        <w:bidi w:val="0"/>
        <w:adjustRightInd/>
        <w:snapToGrid/>
        <w:spacing w:before="0" w:beforeLines="50" w:after="0" w:afterLines="50" w:line="500" w:lineRule="exact"/>
        <w:jc w:val="center"/>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服务方案</w:t>
      </w:r>
    </w:p>
    <w:p w14:paraId="40F158A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供应商按照《中华人民共和国环境保护法》《中华人民共和国安全生产法》《医疗废物管理条例》《危险废物转移管理办法》《四川省安全生产条例》《四川省有限空间作业安全管理规定》等有关法律法规、规范及标准（自本方案生效之日起，若国家、四川省出台最新相关标准，自标准实施之日起按新标准执行）的相关要求，为医院提供污泥清掏、转运、无害化处置服务；污泥清掏、转运、处置全过程的安全防护、消毒消杀、现场清理均由供应商全权负责</w:t>
      </w:r>
      <w:r>
        <w:rPr>
          <w:rFonts w:hint="eastAsia" w:ascii="楷体" w:hAnsi="楷体" w:eastAsia="楷体" w:cs="楷体"/>
          <w:color w:val="auto"/>
          <w:sz w:val="28"/>
          <w:szCs w:val="28"/>
          <w:lang w:eastAsia="zh-CN"/>
        </w:rPr>
        <w:t>。</w:t>
      </w:r>
    </w:p>
    <w:p w14:paraId="1BF9DE96">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0" w:name="heading_0"/>
      <w:r>
        <w:rPr>
          <w:rFonts w:hint="eastAsia" w:ascii="楷体" w:hAnsi="楷体" w:eastAsia="楷体" w:cs="楷体"/>
          <w:b/>
          <w:color w:val="auto"/>
          <w:sz w:val="28"/>
          <w:szCs w:val="28"/>
        </w:rPr>
        <w:t>一、服务范围</w:t>
      </w:r>
      <w:bookmarkEnd w:id="0"/>
    </w:p>
    <w:p w14:paraId="04E10D0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医疗污泥：医院污水处理站运行过程中产生的污泥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医疗区域内的化粪池污泥</w:t>
      </w:r>
      <w:r>
        <w:rPr>
          <w:rFonts w:hint="eastAsia" w:ascii="楷体" w:hAnsi="楷体" w:eastAsia="楷体" w:cs="楷体"/>
          <w:color w:val="auto"/>
          <w:sz w:val="28"/>
          <w:szCs w:val="28"/>
          <w:lang w:val="en-US" w:eastAsia="zh-CN"/>
        </w:rPr>
        <w:t>及院方指定区域。</w:t>
      </w:r>
      <w:r>
        <w:rPr>
          <w:rFonts w:hint="eastAsia" w:ascii="楷体" w:hAnsi="楷体" w:eastAsia="楷体" w:cs="楷体"/>
          <w:color w:val="auto"/>
          <w:sz w:val="28"/>
          <w:szCs w:val="28"/>
        </w:rPr>
        <w:t>所有医疗污泥均属于《国家危险废物名录（2025版）》HW01医疗废物（841-001-01），严禁与其他非医疗污泥混装、混运、混处置。</w:t>
      </w:r>
    </w:p>
    <w:p w14:paraId="0207F54D">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1" w:name="heading_1"/>
      <w:r>
        <w:rPr>
          <w:rFonts w:hint="eastAsia" w:ascii="楷体" w:hAnsi="楷体" w:eastAsia="楷体" w:cs="楷体"/>
          <w:b/>
          <w:color w:val="auto"/>
          <w:sz w:val="28"/>
          <w:szCs w:val="28"/>
        </w:rPr>
        <w:t>二、资质要求</w:t>
      </w:r>
      <w:bookmarkEnd w:id="1"/>
    </w:p>
    <w:p w14:paraId="5212D87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有效的危险废物经营许可证，核准经营危险废物类别包含《国家危险废物名录（2025版）》HW01医疗废物（841-001-01）；危险废物经营许可证的有效期必须覆盖本项目服务期限全过程，且服务期内资质需保持有效，若资质过期，供应商需提前30个工作日提供更新后的有效资质，否则视为违约。</w:t>
      </w:r>
    </w:p>
    <w:p w14:paraId="74ED95F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具有《道路运输经营许可证》（经营范围含有“危险货物运输”或“医疗废物”）或与具有《道路运输经营许可证》（经营范围含有“危险货物运输”或“医疗废物”）的专业运输公司之间签订的有效合同或协议，并必须明确双方的责、权、利等相关事项，做到分工明确，工作界面清晰，且该运输协议或合同的有效期限必须涵盖医院此次危险废物转运处置项目的服务期限。其中，与专业运输公司签订的运输协议，需明确运输过程中的安全防护、污染防治责任；负责污泥转运的驾驶员、押运员需具备相应的危险货物运输从业资格证，且定期参加安全培训，供应商需在项目启动前向医院提交相关人员资质证明备案。</w:t>
      </w:r>
    </w:p>
    <w:p w14:paraId="3C7EB569">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2" w:name="heading_2"/>
      <w:r>
        <w:rPr>
          <w:rFonts w:hint="eastAsia" w:ascii="楷体" w:hAnsi="楷体" w:eastAsia="楷体" w:cs="楷体"/>
          <w:b/>
          <w:color w:val="auto"/>
          <w:sz w:val="28"/>
          <w:szCs w:val="28"/>
        </w:rPr>
        <w:t>三、服务时间</w:t>
      </w:r>
      <w:bookmarkEnd w:id="2"/>
    </w:p>
    <w:p w14:paraId="740C5888">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合同签订之日起一年。</w:t>
      </w:r>
      <w:r>
        <w:rPr>
          <w:rFonts w:hint="eastAsia" w:ascii="楷体" w:hAnsi="楷体" w:eastAsia="楷体" w:cs="楷体"/>
          <w:color w:val="auto"/>
          <w:sz w:val="28"/>
          <w:szCs w:val="28"/>
          <w:lang w:val="en-US" w:eastAsia="zh-CN"/>
        </w:rPr>
        <w:t>按照医院工作安排</w:t>
      </w:r>
      <w:r>
        <w:rPr>
          <w:rFonts w:hint="eastAsia" w:ascii="楷体" w:hAnsi="楷体" w:eastAsia="楷体" w:cs="楷体"/>
          <w:color w:val="auto"/>
          <w:sz w:val="28"/>
          <w:szCs w:val="28"/>
        </w:rPr>
        <w:t>，供应商提前5个工作日向医院提交清掏计划（含时间、人员、设备、消毒方案），经医院后勤保障部确认后实施；突发应急情况（如污泥溢出、设备故障导致污泥堆积等），供应商需在接到医院通知后</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小时内抵达现场，启动应急处置，确保不影响医院正常医疗秩序。</w:t>
      </w:r>
    </w:p>
    <w:p w14:paraId="6F5213FC">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3" w:name="heading_3"/>
      <w:r>
        <w:rPr>
          <w:rFonts w:hint="eastAsia" w:ascii="楷体" w:hAnsi="楷体" w:eastAsia="楷体" w:cs="楷体"/>
          <w:b/>
          <w:color w:val="auto"/>
          <w:sz w:val="28"/>
          <w:szCs w:val="28"/>
        </w:rPr>
        <w:t>四、服务要求</w:t>
      </w:r>
      <w:bookmarkEnd w:id="3"/>
    </w:p>
    <w:p w14:paraId="71DAD45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按照医院要求每季度提供一次污泥清掏处置服务，严格按照环保要求对医院污水处理站运行过程中产生的污泥及医疗区域内的化粪池污泥进行污泥清理并自行运送至处理点进行无害化处置。如遇突发应急情况，可根据医院需求临时增加服务频次，不额外收取服务费用。每季度清掏处置费用不超过当年总费用的25%，此处总费用指本项目合同约定的年度总服务费，超出部分仍按25%计算，结余部分可结转至下一季度抵扣（或按合同约定处理）。</w:t>
      </w:r>
    </w:p>
    <w:p w14:paraId="7F4BD9BE">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医院污泥属于感染性废物，为防止感染源扩散，对周围环境造成二次污染，严禁在地面堆放污泥，不得在医院院区内对污泥进行干化处理。污泥清掏后需采用密封式容器包装，容器需张贴危险废物标识（HW01医疗废物），转运车辆需符合危险货物运输标准，全程密闭，严禁泄漏；转运路线需提前报备医院，经确认后严格执行，不得擅自更改；污泥清掏后24小时内转运出院，不得在采购人院区内停放超过24小时。</w:t>
      </w:r>
    </w:p>
    <w:p w14:paraId="33F3235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供应商负责将污泥转运至具有法定资质的运输工具上，在转运至运输工具过程中，必须采取相应安全防护措施和污染防治措施，确保项目具体实施过程中完全符合有关法律法规、行业标准的有关要求。如果出现因供应商操作不当引起的安全、环保事故，由供应商承担全部事故责任。</w:t>
      </w:r>
    </w:p>
    <w:p w14:paraId="5670950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污泥清理施工时设置临时消毒装置，临时消毒装置需符合医疗消毒标准，消毒药剂需为符合国标、适用于感染性废物的消毒剂；施工前对池体污泥进行不少于30分钟的全面消毒后方才施工。完工后打扫施工现场周边环境卫生（施工现场周边指作业区域半径5米范围内），对周边现场、作业工具、转运车辆进行二次消毒，消毒记录需留存，供医院核查，防止感染源扩散，最后恢复设施和场地原状，未恢复设施原状的，需在24小时内整改完毕。</w:t>
      </w:r>
    </w:p>
    <w:p w14:paraId="30B34E1C">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供应商施工前出具具体施工方案，针对医院实际情况制定相应的应急处置预案，应急预案需经医院后勤保障部审核确认后方可实施；应急预案有明确的各环节管理负责人；有意外事故的情形及相应的处理措施；有应急预案中要求配置的应急装备及物资，应急装备及物资需提前在医院指定地点备案，定期检查维护，确保应急时可正常使用；每次应急处置后，供应商需在3个工作日内提交应急处置报告，说明处置过程、结果及改进措施。</w:t>
      </w:r>
    </w:p>
    <w:p w14:paraId="083DB0E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严格遵守医院的规章制度，不得影响医院正常工作秩序和医疗秩序。若因违规作业、或故意、或过失、环境污染等行为造成的自身、医院或其他第三人的人身伤害（亡）或财产（或代管财产）损失等均由供应商承担相应责任。</w:t>
      </w:r>
    </w:p>
    <w:p w14:paraId="1B1A537A">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涉及有限空间作业的，须按《四川省有限空间作业安全管理规定》等有关法律法规及规范要求实施；有限空间作业前，需进行气体检测、通风换气，作业人员需佩戴专业防护装备，配备监护人员，作业过程全程记录；作业方案需提前提交医院审核，未经审核不得开展作业。</w:t>
      </w:r>
    </w:p>
    <w:p w14:paraId="4F0CE87B">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供应商针对本项目须设置项目经理1名，专门负责与本项目有关的一切事宜，项目经理需具备危险废物处置相关从业经验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项目经理实行备案制度，未经医院书面同意不得擅自更换；若因特殊情况需更换项目经理，供应商需提前15个工作日向医院提交书面申请及新项目经理资质证明，经医院书面同意后方可更换，更换后需在3个工作日内完成备案。</w:t>
      </w:r>
    </w:p>
    <w:p w14:paraId="604727D9">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每次实施污泥转运处置服务时，双方按照实施的服务内容须对污泥的称重、转运、交接等环节进行验收和监督，污泥称重需使用医院认可的合格计量设备，称重记录双方签字确认，作为费用结算及转移联单填写的依据；确保转运处置的污泥实际重量与《危险废物转移联单》记录保持一致，双方须签字确认。同时，供应商须为本项目服务内容办理转移、无害化处置等相关手续【包括协助采购人完成各类危险废物在四川省固体废物环境管理信息系统（简称“无废四川”系统）的申报、交接、转运、数据上传、填写转移联单以及登记、统计等工作】，“无废四川”系统的申报、数据上传需在污泥转运当日完成，转移联单需加盖供应商公章及医院相关部门公章，确保手续合规；转运处置完成后十五个工作日内向医院提供“无废四川”《危险废物转移联单》1份；供应商需每月向医院提交污泥处置进度报表，说明处置量、手续办理情况。</w:t>
      </w:r>
    </w:p>
    <w:p w14:paraId="014EAB4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考核要求：</w:t>
      </w:r>
    </w:p>
    <w:p w14:paraId="1D67C24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453"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考核内容：详见附件《污泥处理技术服务质量考核表》。</w:t>
      </w:r>
    </w:p>
    <w:p w14:paraId="1257EEE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453"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考核方式：考核为每季度一次，对乙方污泥处置规范化情况等进行综合考核，考核记录需双方签字确认，存档备查。</w:t>
      </w:r>
    </w:p>
    <w:p w14:paraId="0384D9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453"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考核结果应用：季度综合考核情况与当季度服务费支付挂钩。综合考核平均分为90分及以上为优秀，不进行考核扣款；80-89分为合格，以89分为基准分数，每降低1分扣100元；70-79分为基本合格，以79分为基准分数，每降低1分扣200元；70分（不含）以下为不合格，以69分为基准分数，每降低1分扣1000元，后勤保障部以书面形式向乙方发放工作函，要求乙方3天内提交整改函。考核结果较重程度扣款与较轻程度扣款累加计算。其中，考核不合格（70分以下）的，供应商提交的整改函需明确整改措施、整改时限（最长不超过7个工作日）、责任人，医院后勤保障部对整改情况进行复核，复核不合格的，医院可再次扣款，并有权终止合同。每季度考核结束后，医院后勤保障部需在3个工作日内将考核结果、扣分明细书面告知供应商，供应商对考核结果有异议的，可在5个工作日内提交书面申诉，医院需在7个工作日内予以答复。</w:t>
      </w:r>
    </w:p>
    <w:p w14:paraId="73CE5336">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4" w:name="heading_4"/>
      <w:r>
        <w:rPr>
          <w:rFonts w:hint="eastAsia" w:ascii="楷体" w:hAnsi="楷体" w:eastAsia="楷体" w:cs="楷体"/>
          <w:b/>
          <w:color w:val="auto"/>
          <w:sz w:val="28"/>
          <w:szCs w:val="28"/>
        </w:rPr>
        <w:t>五、违约责任</w:t>
      </w:r>
      <w:bookmarkEnd w:id="4"/>
    </w:p>
    <w:p w14:paraId="36FB504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明确供应商违约的具体情形及对应违约责任：</w:t>
      </w:r>
    </w:p>
    <w:p w14:paraId="4DEF8680">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资质过期未按要求更新的，视为违约，医院可单方面终止合同并追究供应商赔偿责任；</w:t>
      </w:r>
    </w:p>
    <w:p w14:paraId="41CFB38E">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擅自更换项目经理的，医院可</w:t>
      </w:r>
      <w:r>
        <w:rPr>
          <w:rFonts w:hint="eastAsia" w:ascii="楷体" w:hAnsi="楷体" w:eastAsia="楷体" w:cs="楷体"/>
          <w:color w:val="auto"/>
          <w:sz w:val="28"/>
          <w:szCs w:val="28"/>
          <w:lang w:val="en-US" w:eastAsia="zh-CN"/>
        </w:rPr>
        <w:t>予以处罚</w:t>
      </w:r>
      <w:r>
        <w:rPr>
          <w:rFonts w:hint="eastAsia" w:ascii="楷体" w:hAnsi="楷体" w:eastAsia="楷体" w:cs="楷体"/>
          <w:color w:val="auto"/>
          <w:sz w:val="28"/>
          <w:szCs w:val="28"/>
        </w:rPr>
        <w:t>并追究违约责任；</w:t>
      </w:r>
    </w:p>
    <w:p w14:paraId="7402DB78">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污泥处置不合格、未按规定时限转运、未按要求办理相关手续的，除按考核要求扣款外，供应商需承担由此造成的一切损失；</w:t>
      </w:r>
    </w:p>
    <w:p w14:paraId="3C2E7DC3">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楷体" w:hAnsi="楷体" w:eastAsia="楷体" w:cs="楷体"/>
          <w:color w:val="auto"/>
          <w:sz w:val="28"/>
          <w:szCs w:val="28"/>
        </w:rPr>
      </w:pPr>
      <w:bookmarkStart w:id="8" w:name="_GoBack"/>
      <w:bookmarkEnd w:id="8"/>
      <w:r>
        <w:rPr>
          <w:rFonts w:hint="eastAsia" w:ascii="楷体" w:hAnsi="楷体" w:eastAsia="楷体" w:cs="楷体"/>
          <w:color w:val="auto"/>
          <w:sz w:val="28"/>
          <w:szCs w:val="28"/>
        </w:rPr>
        <w:t>因供应商操作不当引发安全、环保事故，或造成医院、第三方人身财产损失的，由供应商承担全部责任并赔偿损失。</w:t>
      </w:r>
    </w:p>
    <w:p w14:paraId="38A6F9B0">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5" w:name="heading_5"/>
      <w:r>
        <w:rPr>
          <w:rFonts w:hint="eastAsia" w:ascii="楷体" w:hAnsi="楷体" w:eastAsia="楷体" w:cs="楷体"/>
          <w:b/>
          <w:color w:val="auto"/>
          <w:sz w:val="28"/>
          <w:szCs w:val="28"/>
        </w:rPr>
        <w:t>六、保密条款</w:t>
      </w:r>
      <w:bookmarkEnd w:id="5"/>
    </w:p>
    <w:p w14:paraId="68E7E2D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供应商需对医院的污泥产生量、处置流程、相关资质资料、考核记录等信息严格保密，不得向任何第三方泄露，若违反本条款，供应商需承担相应的赔偿责任，医院可单方面终止合同。</w:t>
      </w:r>
    </w:p>
    <w:p w14:paraId="2DFB646A">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outlineLvl w:val="1"/>
        <w:rPr>
          <w:rFonts w:hint="eastAsia" w:ascii="楷体" w:hAnsi="楷体" w:eastAsia="楷体" w:cs="楷体"/>
          <w:color w:val="auto"/>
          <w:sz w:val="28"/>
          <w:szCs w:val="28"/>
        </w:rPr>
      </w:pPr>
      <w:bookmarkStart w:id="6" w:name="heading_6"/>
      <w:r>
        <w:rPr>
          <w:rFonts w:hint="eastAsia" w:ascii="楷体" w:hAnsi="楷体" w:eastAsia="楷体" w:cs="楷体"/>
          <w:b/>
          <w:color w:val="auto"/>
          <w:sz w:val="28"/>
          <w:szCs w:val="28"/>
        </w:rPr>
        <w:t>七、争议解决条款</w:t>
      </w:r>
      <w:bookmarkEnd w:id="6"/>
    </w:p>
    <w:p w14:paraId="28E2FBA6">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双方在本项目实施过程中发生争议时，优先通过友好协商解决；协商不成的，任何一方均有权向本项目所在地人民法院提起诉讼。</w:t>
      </w:r>
    </w:p>
    <w:p w14:paraId="429D23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color w:val="auto"/>
          <w:sz w:val="28"/>
          <w:szCs w:val="28"/>
        </w:rPr>
        <w:sectPr>
          <w:headerReference r:id="rId3" w:type="default"/>
          <w:footerReference r:id="rId4" w:type="default"/>
          <w:pgSz w:w="11905" w:h="16840"/>
          <w:pgMar w:top="1134" w:right="1134" w:bottom="1134" w:left="1134" w:header="720" w:footer="720" w:gutter="0"/>
          <w:pgBorders>
            <w:top w:val="none" w:sz="0" w:space="0"/>
            <w:left w:val="none" w:sz="0" w:space="0"/>
            <w:bottom w:val="none" w:sz="0" w:space="0"/>
            <w:right w:val="none" w:sz="0" w:space="0"/>
          </w:pgBorders>
          <w:cols w:space="720" w:num="1"/>
        </w:sectPr>
      </w:pPr>
      <w:bookmarkStart w:id="7" w:name="heading_7"/>
    </w:p>
    <w:p w14:paraId="10451AA4">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jc w:val="left"/>
        <w:textAlignment w:val="auto"/>
        <w:rPr>
          <w:rFonts w:hint="eastAsia" w:ascii="楷体" w:hAnsi="楷体" w:eastAsia="楷体" w:cs="楷体"/>
          <w:color w:val="auto"/>
          <w:sz w:val="28"/>
          <w:szCs w:val="28"/>
        </w:rPr>
      </w:pPr>
      <w:r>
        <w:rPr>
          <w:rFonts w:hint="eastAsia" w:ascii="楷体" w:hAnsi="楷体" w:eastAsia="楷体" w:cs="楷体"/>
          <w:b/>
          <w:color w:val="auto"/>
          <w:sz w:val="28"/>
          <w:szCs w:val="28"/>
        </w:rPr>
        <w:t>附件：污泥处理技术服务</w:t>
      </w:r>
      <w:r>
        <w:rPr>
          <w:rFonts w:hint="eastAsia" w:ascii="楷体" w:hAnsi="楷体" w:eastAsia="楷体" w:cs="楷体"/>
          <w:b/>
          <w:color w:val="auto"/>
          <w:sz w:val="28"/>
          <w:szCs w:val="28"/>
          <w:lang w:val="en-US" w:eastAsia="zh-CN"/>
        </w:rPr>
        <w:t>季度</w:t>
      </w:r>
      <w:r>
        <w:rPr>
          <w:rFonts w:hint="eastAsia" w:ascii="楷体" w:hAnsi="楷体" w:eastAsia="楷体" w:cs="楷体"/>
          <w:b/>
          <w:color w:val="auto"/>
          <w:sz w:val="28"/>
          <w:szCs w:val="28"/>
        </w:rPr>
        <w:t>质量考核表</w:t>
      </w:r>
      <w:bookmarkEnd w:id="7"/>
    </w:p>
    <w:tbl>
      <w:tblPr>
        <w:tblStyle w:val="3"/>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 w:type="dxa"/>
          <w:bottom w:w="0" w:type="dxa"/>
          <w:right w:w="10" w:type="dxa"/>
        </w:tblCellMar>
      </w:tblPr>
      <w:tblGrid>
        <w:gridCol w:w="5646"/>
        <w:gridCol w:w="1382"/>
        <w:gridCol w:w="963"/>
        <w:gridCol w:w="1886"/>
      </w:tblGrid>
      <w:tr w14:paraId="4A16BB1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blHeader/>
        </w:trPr>
        <w:tc>
          <w:tcPr>
            <w:tcW w:w="9022" w:type="dxa"/>
            <w:tcBorders>
              <w:tl2br w:val="nil"/>
              <w:tr2bl w:val="nil"/>
            </w:tcBorders>
            <w:tcMar>
              <w:top w:w="60" w:type="dxa"/>
              <w:left w:w="120" w:type="dxa"/>
              <w:bottom w:w="30" w:type="dxa"/>
              <w:right w:w="120" w:type="dxa"/>
            </w:tcMar>
            <w:vAlign w:val="center"/>
          </w:tcPr>
          <w:p w14:paraId="10F4EDE2">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考核内容</w:t>
            </w:r>
          </w:p>
        </w:tc>
        <w:tc>
          <w:tcPr>
            <w:tcW w:w="1606" w:type="dxa"/>
            <w:tcBorders>
              <w:tl2br w:val="nil"/>
              <w:tr2bl w:val="nil"/>
            </w:tcBorders>
            <w:tcMar>
              <w:top w:w="60" w:type="dxa"/>
              <w:left w:w="120" w:type="dxa"/>
              <w:bottom w:w="30" w:type="dxa"/>
              <w:right w:w="120" w:type="dxa"/>
            </w:tcMar>
            <w:vAlign w:val="center"/>
          </w:tcPr>
          <w:p w14:paraId="25B955F2">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分值</w:t>
            </w:r>
          </w:p>
        </w:tc>
        <w:tc>
          <w:tcPr>
            <w:tcW w:w="1289" w:type="dxa"/>
            <w:tcBorders>
              <w:tl2br w:val="nil"/>
              <w:tr2bl w:val="nil"/>
            </w:tcBorders>
            <w:tcMar>
              <w:top w:w="60" w:type="dxa"/>
              <w:left w:w="120" w:type="dxa"/>
              <w:bottom w:w="30" w:type="dxa"/>
              <w:right w:w="120" w:type="dxa"/>
            </w:tcMar>
            <w:vAlign w:val="center"/>
          </w:tcPr>
          <w:p w14:paraId="2CB750F2">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得分</w:t>
            </w:r>
          </w:p>
        </w:tc>
        <w:tc>
          <w:tcPr>
            <w:tcW w:w="2895" w:type="dxa"/>
            <w:tcBorders>
              <w:tl2br w:val="nil"/>
              <w:tr2bl w:val="nil"/>
            </w:tcBorders>
            <w:tcMar>
              <w:top w:w="60" w:type="dxa"/>
              <w:left w:w="120" w:type="dxa"/>
              <w:bottom w:w="30" w:type="dxa"/>
              <w:right w:w="120" w:type="dxa"/>
            </w:tcMar>
            <w:vAlign w:val="center"/>
          </w:tcPr>
          <w:p w14:paraId="1B20CD93">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备注</w:t>
            </w:r>
          </w:p>
        </w:tc>
      </w:tr>
      <w:tr w14:paraId="5009DDB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0E13AD2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供应商服务人员仪表不整洁，不佩戴工作牌（工作牌需注明姓名、岗位、供应商名称），不文明语言或行为（含喧哗、随意进入非作业区域），在医院院内吸烟、喝酒等。违反一次扣2分</w:t>
            </w:r>
          </w:p>
        </w:tc>
        <w:tc>
          <w:tcPr>
            <w:tcW w:w="1606" w:type="dxa"/>
            <w:tcBorders>
              <w:tl2br w:val="nil"/>
              <w:tr2bl w:val="nil"/>
            </w:tcBorders>
            <w:tcMar>
              <w:top w:w="60" w:type="dxa"/>
              <w:left w:w="120" w:type="dxa"/>
              <w:bottom w:w="30" w:type="dxa"/>
              <w:right w:w="120" w:type="dxa"/>
            </w:tcMar>
            <w:vAlign w:val="center"/>
          </w:tcPr>
          <w:p w14:paraId="30799EDB">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289" w:type="dxa"/>
            <w:tcBorders>
              <w:tl2br w:val="nil"/>
              <w:tr2bl w:val="nil"/>
            </w:tcBorders>
            <w:tcMar>
              <w:top w:w="60" w:type="dxa"/>
              <w:left w:w="120" w:type="dxa"/>
              <w:bottom w:w="30" w:type="dxa"/>
              <w:right w:w="120" w:type="dxa"/>
            </w:tcMar>
            <w:vAlign w:val="center"/>
          </w:tcPr>
          <w:p w14:paraId="66A5A6B8">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4F8ED80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79D0397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3429A11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服务过程中出现与医护人员、患者纠纷。违反一次扣2分</w:t>
            </w:r>
          </w:p>
        </w:tc>
        <w:tc>
          <w:tcPr>
            <w:tcW w:w="1606" w:type="dxa"/>
            <w:tcBorders>
              <w:tl2br w:val="nil"/>
              <w:tr2bl w:val="nil"/>
            </w:tcBorders>
            <w:tcMar>
              <w:top w:w="60" w:type="dxa"/>
              <w:left w:w="120" w:type="dxa"/>
              <w:bottom w:w="30" w:type="dxa"/>
              <w:right w:w="120" w:type="dxa"/>
            </w:tcMar>
            <w:vAlign w:val="center"/>
          </w:tcPr>
          <w:p w14:paraId="6C40AC8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289" w:type="dxa"/>
            <w:tcBorders>
              <w:tl2br w:val="nil"/>
              <w:tr2bl w:val="nil"/>
            </w:tcBorders>
            <w:tcMar>
              <w:top w:w="60" w:type="dxa"/>
              <w:left w:w="120" w:type="dxa"/>
              <w:bottom w:w="30" w:type="dxa"/>
              <w:right w:w="120" w:type="dxa"/>
            </w:tcMar>
            <w:vAlign w:val="center"/>
          </w:tcPr>
          <w:p w14:paraId="1E567D85">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6818A77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24AE55E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2698C30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服务过程未采取防护措施，造成医院公共设施设备污垢或污渍的。违反一次扣5分</w:t>
            </w:r>
          </w:p>
        </w:tc>
        <w:tc>
          <w:tcPr>
            <w:tcW w:w="1606" w:type="dxa"/>
            <w:tcBorders>
              <w:tl2br w:val="nil"/>
              <w:tr2bl w:val="nil"/>
            </w:tcBorders>
            <w:tcMar>
              <w:top w:w="60" w:type="dxa"/>
              <w:left w:w="120" w:type="dxa"/>
              <w:bottom w:w="30" w:type="dxa"/>
              <w:right w:w="120" w:type="dxa"/>
            </w:tcMar>
            <w:vAlign w:val="center"/>
          </w:tcPr>
          <w:p w14:paraId="6DA753FB">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289" w:type="dxa"/>
            <w:tcBorders>
              <w:tl2br w:val="nil"/>
              <w:tr2bl w:val="nil"/>
            </w:tcBorders>
            <w:tcMar>
              <w:top w:w="60" w:type="dxa"/>
              <w:left w:w="120" w:type="dxa"/>
              <w:bottom w:w="30" w:type="dxa"/>
              <w:right w:w="120" w:type="dxa"/>
            </w:tcMar>
            <w:vAlign w:val="center"/>
          </w:tcPr>
          <w:p w14:paraId="7F76ADC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56FE894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46F68D0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7D766926">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院内转运未按采购人指定的路线进行转运。违反一次扣5分</w:t>
            </w:r>
          </w:p>
        </w:tc>
        <w:tc>
          <w:tcPr>
            <w:tcW w:w="1606" w:type="dxa"/>
            <w:tcBorders>
              <w:tl2br w:val="nil"/>
              <w:tr2bl w:val="nil"/>
            </w:tcBorders>
            <w:tcMar>
              <w:top w:w="60" w:type="dxa"/>
              <w:left w:w="120" w:type="dxa"/>
              <w:bottom w:w="30" w:type="dxa"/>
              <w:right w:w="120" w:type="dxa"/>
            </w:tcMar>
            <w:vAlign w:val="center"/>
          </w:tcPr>
          <w:p w14:paraId="437B024B">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289" w:type="dxa"/>
            <w:tcBorders>
              <w:tl2br w:val="nil"/>
              <w:tr2bl w:val="nil"/>
            </w:tcBorders>
            <w:tcMar>
              <w:top w:w="60" w:type="dxa"/>
              <w:left w:w="120" w:type="dxa"/>
              <w:bottom w:w="30" w:type="dxa"/>
              <w:right w:w="120" w:type="dxa"/>
            </w:tcMar>
            <w:vAlign w:val="center"/>
          </w:tcPr>
          <w:p w14:paraId="67AC0ED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1AC9DF8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5685936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6D6A0BC2">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施工完成后未打扫施工现场周边环境卫生（作业区域半径5米范围内），对周边现场进行消毒处理（消毒需留存记录），恢复设施和场地原状（未恢复的需24小时内整改）。违反一次一个点位扣5分。</w:t>
            </w:r>
          </w:p>
        </w:tc>
        <w:tc>
          <w:tcPr>
            <w:tcW w:w="1606" w:type="dxa"/>
            <w:tcBorders>
              <w:tl2br w:val="nil"/>
              <w:tr2bl w:val="nil"/>
            </w:tcBorders>
            <w:tcMar>
              <w:top w:w="60" w:type="dxa"/>
              <w:left w:w="120" w:type="dxa"/>
              <w:bottom w:w="30" w:type="dxa"/>
              <w:right w:w="120" w:type="dxa"/>
            </w:tcMar>
            <w:vAlign w:val="center"/>
          </w:tcPr>
          <w:p w14:paraId="23C8351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20</w:t>
            </w:r>
          </w:p>
        </w:tc>
        <w:tc>
          <w:tcPr>
            <w:tcW w:w="1289" w:type="dxa"/>
            <w:tcBorders>
              <w:tl2br w:val="nil"/>
              <w:tr2bl w:val="nil"/>
            </w:tcBorders>
            <w:tcMar>
              <w:top w:w="60" w:type="dxa"/>
              <w:left w:w="120" w:type="dxa"/>
              <w:bottom w:w="30" w:type="dxa"/>
              <w:right w:w="120" w:type="dxa"/>
            </w:tcMar>
            <w:vAlign w:val="center"/>
          </w:tcPr>
          <w:p w14:paraId="31B3E20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6F6027D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3AD15BC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37597E5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对医院管理部门提出突发应急情况未及时响应处理（未及时响应指接到通知后超过</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小时未抵达现场，或抵达后未及时开展处置）。违反一次扣5分。</w:t>
            </w:r>
          </w:p>
        </w:tc>
        <w:tc>
          <w:tcPr>
            <w:tcW w:w="1606" w:type="dxa"/>
            <w:tcBorders>
              <w:tl2br w:val="nil"/>
              <w:tr2bl w:val="nil"/>
            </w:tcBorders>
            <w:tcMar>
              <w:top w:w="60" w:type="dxa"/>
              <w:left w:w="120" w:type="dxa"/>
              <w:bottom w:w="30" w:type="dxa"/>
              <w:right w:w="120" w:type="dxa"/>
            </w:tcMar>
            <w:vAlign w:val="center"/>
          </w:tcPr>
          <w:p w14:paraId="17483C52">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289" w:type="dxa"/>
            <w:tcBorders>
              <w:tl2br w:val="nil"/>
              <w:tr2bl w:val="nil"/>
            </w:tcBorders>
            <w:tcMar>
              <w:top w:w="60" w:type="dxa"/>
              <w:left w:w="120" w:type="dxa"/>
              <w:bottom w:w="30" w:type="dxa"/>
              <w:right w:w="120" w:type="dxa"/>
            </w:tcMar>
            <w:vAlign w:val="center"/>
          </w:tcPr>
          <w:p w14:paraId="77B9F89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5DE58A9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5255B04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7BA83AD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未完成危险废物转移、处置等相关手续申报，未按时提交转移联单（未按时指超过15个工作日未提交，或提交的联单信息不完整、不符合要求）。违反一次扣20分</w:t>
            </w:r>
          </w:p>
        </w:tc>
        <w:tc>
          <w:tcPr>
            <w:tcW w:w="1606" w:type="dxa"/>
            <w:tcBorders>
              <w:tl2br w:val="nil"/>
              <w:tr2bl w:val="nil"/>
            </w:tcBorders>
            <w:tcMar>
              <w:top w:w="60" w:type="dxa"/>
              <w:left w:w="120" w:type="dxa"/>
              <w:bottom w:w="30" w:type="dxa"/>
              <w:right w:w="120" w:type="dxa"/>
            </w:tcMar>
            <w:vAlign w:val="center"/>
          </w:tcPr>
          <w:p w14:paraId="24BA0633">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20</w:t>
            </w:r>
          </w:p>
        </w:tc>
        <w:tc>
          <w:tcPr>
            <w:tcW w:w="1289" w:type="dxa"/>
            <w:tcBorders>
              <w:tl2br w:val="nil"/>
              <w:tr2bl w:val="nil"/>
            </w:tcBorders>
            <w:tcMar>
              <w:top w:w="60" w:type="dxa"/>
              <w:left w:w="120" w:type="dxa"/>
              <w:bottom w:w="30" w:type="dxa"/>
              <w:right w:w="120" w:type="dxa"/>
            </w:tcMar>
            <w:vAlign w:val="center"/>
          </w:tcPr>
          <w:p w14:paraId="310ACA7B">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108AED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楷体" w:hAnsi="楷体" w:eastAsia="楷体" w:cs="楷体"/>
                <w:color w:val="auto"/>
                <w:sz w:val="28"/>
                <w:szCs w:val="28"/>
              </w:rPr>
            </w:pPr>
          </w:p>
        </w:tc>
      </w:tr>
      <w:tr w14:paraId="2469FB7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27CC0A3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项目负责人岗位职责、工作能力、工作效率、工作态度等日常服务情况是否达到要求，未达到一次扣 2 分，扣完为止。</w:t>
            </w:r>
          </w:p>
        </w:tc>
        <w:tc>
          <w:tcPr>
            <w:tcW w:w="1606" w:type="dxa"/>
            <w:tcBorders>
              <w:tl2br w:val="nil"/>
              <w:tr2bl w:val="nil"/>
            </w:tcBorders>
            <w:tcMar>
              <w:top w:w="60" w:type="dxa"/>
              <w:left w:w="120" w:type="dxa"/>
              <w:bottom w:w="30" w:type="dxa"/>
              <w:right w:w="120" w:type="dxa"/>
            </w:tcMar>
            <w:vAlign w:val="center"/>
          </w:tcPr>
          <w:p w14:paraId="22B08CC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289" w:type="dxa"/>
            <w:tcBorders>
              <w:tl2br w:val="nil"/>
              <w:tr2bl w:val="nil"/>
            </w:tcBorders>
            <w:tcMar>
              <w:top w:w="60" w:type="dxa"/>
              <w:left w:w="120" w:type="dxa"/>
              <w:bottom w:w="30" w:type="dxa"/>
              <w:right w:w="120" w:type="dxa"/>
            </w:tcMar>
            <w:vAlign w:val="center"/>
          </w:tcPr>
          <w:p w14:paraId="382CABD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6542EC5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r w14:paraId="2204F3F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 w:type="dxa"/>
            <w:bottom w:w="0" w:type="dxa"/>
            <w:right w:w="10" w:type="dxa"/>
          </w:tblCellMar>
        </w:tblPrEx>
        <w:tc>
          <w:tcPr>
            <w:tcW w:w="9022" w:type="dxa"/>
            <w:tcBorders>
              <w:tl2br w:val="nil"/>
              <w:tr2bl w:val="nil"/>
            </w:tcBorders>
            <w:tcMar>
              <w:top w:w="60" w:type="dxa"/>
              <w:left w:w="120" w:type="dxa"/>
              <w:bottom w:w="30" w:type="dxa"/>
              <w:right w:w="120" w:type="dxa"/>
            </w:tcMar>
            <w:vAlign w:val="center"/>
          </w:tcPr>
          <w:p w14:paraId="16B4496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合计</w:t>
            </w:r>
          </w:p>
        </w:tc>
        <w:tc>
          <w:tcPr>
            <w:tcW w:w="1606" w:type="dxa"/>
            <w:tcBorders>
              <w:tl2br w:val="nil"/>
              <w:tr2bl w:val="nil"/>
            </w:tcBorders>
            <w:tcMar>
              <w:top w:w="60" w:type="dxa"/>
              <w:left w:w="120" w:type="dxa"/>
              <w:bottom w:w="30" w:type="dxa"/>
              <w:right w:w="120" w:type="dxa"/>
            </w:tcMar>
            <w:vAlign w:val="center"/>
          </w:tcPr>
          <w:p w14:paraId="280AFA23">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100</w:t>
            </w:r>
          </w:p>
        </w:tc>
        <w:tc>
          <w:tcPr>
            <w:tcW w:w="1289" w:type="dxa"/>
            <w:tcBorders>
              <w:tl2br w:val="nil"/>
              <w:tr2bl w:val="nil"/>
            </w:tcBorders>
            <w:tcMar>
              <w:top w:w="60" w:type="dxa"/>
              <w:left w:w="120" w:type="dxa"/>
              <w:bottom w:w="30" w:type="dxa"/>
              <w:right w:w="120" w:type="dxa"/>
            </w:tcMar>
            <w:vAlign w:val="center"/>
          </w:tcPr>
          <w:p w14:paraId="1734BFB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c>
          <w:tcPr>
            <w:tcW w:w="2895" w:type="dxa"/>
            <w:tcBorders>
              <w:tl2br w:val="nil"/>
              <w:tr2bl w:val="nil"/>
            </w:tcBorders>
            <w:tcMar>
              <w:top w:w="60" w:type="dxa"/>
              <w:left w:w="120" w:type="dxa"/>
              <w:bottom w:w="30" w:type="dxa"/>
              <w:right w:w="120" w:type="dxa"/>
            </w:tcMar>
            <w:vAlign w:val="center"/>
          </w:tcPr>
          <w:p w14:paraId="74CA9A1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楷体" w:hAnsi="楷体" w:eastAsia="楷体" w:cs="楷体"/>
                <w:color w:val="auto"/>
                <w:sz w:val="28"/>
                <w:szCs w:val="28"/>
              </w:rPr>
            </w:pPr>
          </w:p>
        </w:tc>
      </w:tr>
    </w:tbl>
    <w:p w14:paraId="68F3024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考核人员：__________  考核时间：__________</w:t>
      </w:r>
    </w:p>
    <w:p w14:paraId="18B751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楷体" w:hAnsi="楷体" w:eastAsia="楷体" w:cs="楷体"/>
          <w:color w:val="auto"/>
          <w:sz w:val="28"/>
          <w:szCs w:val="28"/>
        </w:rPr>
      </w:pPr>
    </w:p>
    <w:sectPr>
      <w:pgSz w:w="11905" w:h="16840"/>
      <w:pgMar w:top="1134" w:right="1134" w:bottom="1134" w:left="1134" w:header="720" w:footer="720" w:gutter="0"/>
      <w:pgBorders>
        <w:top w:val="none" w:sz="0" w:space="0"/>
        <w:left w:val="none" w:sz="0" w:space="0"/>
        <w:bottom w:val="none" w:sz="0" w:space="0"/>
        <w:right w:val="none" w:sz="0" w:space="0"/>
      </w:pgBorders>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463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1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8"/>
      <w:numFmt w:val="decimal"/>
      <w:lvlText w:val="%1."/>
      <w:lvlJc w:val="left"/>
      <w:rPr>
        <w:color w:val="3370FF"/>
      </w:rPr>
    </w:lvl>
  </w:abstractNum>
  <w:abstractNum w:abstractNumId="1">
    <w:nsid w:val="B5E306ED"/>
    <w:multiLevelType w:val="singleLevel"/>
    <w:tmpl w:val="B5E306ED"/>
    <w:lvl w:ilvl="0" w:tentative="0">
      <w:start w:val="3"/>
      <w:numFmt w:val="decimal"/>
      <w:lvlText w:val="%1."/>
      <w:lvlJc w:val="left"/>
      <w:rPr>
        <w:color w:val="3370FF"/>
      </w:rPr>
    </w:lvl>
  </w:abstractNum>
  <w:abstractNum w:abstractNumId="2">
    <w:nsid w:val="BF205925"/>
    <w:multiLevelType w:val="singleLevel"/>
    <w:tmpl w:val="BF205925"/>
    <w:lvl w:ilvl="0" w:tentative="0">
      <w:start w:val="2"/>
      <w:numFmt w:val="decimal"/>
      <w:lvlText w:val="%1."/>
      <w:lvlJc w:val="left"/>
      <w:rPr>
        <w:color w:val="3370FF"/>
      </w:rPr>
    </w:lvl>
  </w:abstractNum>
  <w:abstractNum w:abstractNumId="3">
    <w:nsid w:val="C8879AEF"/>
    <w:multiLevelType w:val="singleLevel"/>
    <w:tmpl w:val="C8879AEF"/>
    <w:lvl w:ilvl="0" w:tentative="0">
      <w:start w:val="1"/>
      <w:numFmt w:val="lowerLetter"/>
      <w:lvlText w:val="%1."/>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F426F120"/>
    <w:multiLevelType w:val="singleLevel"/>
    <w:tmpl w:val="F426F120"/>
    <w:lvl w:ilvl="0" w:tentative="0">
      <w:start w:val="1"/>
      <w:numFmt w:val="decimal"/>
      <w:suff w:val="space"/>
      <w:lvlText w:val="%1."/>
      <w:lvlJc w:val="left"/>
    </w:lvl>
  </w:abstractNum>
  <w:abstractNum w:abstractNumId="6">
    <w:nsid w:val="F4B5D9F5"/>
    <w:multiLevelType w:val="singleLevel"/>
    <w:tmpl w:val="F4B5D9F5"/>
    <w:lvl w:ilvl="0" w:tentative="0">
      <w:start w:val="3"/>
      <w:numFmt w:val="lowerLetter"/>
      <w:lvlText w:val="%1."/>
      <w:lvlJc w:val="left"/>
      <w:rPr>
        <w:color w:val="3370FF"/>
      </w:rPr>
    </w:lvl>
  </w:abstractNum>
  <w:abstractNum w:abstractNumId="7">
    <w:nsid w:val="0053208E"/>
    <w:multiLevelType w:val="singleLevel"/>
    <w:tmpl w:val="0053208E"/>
    <w:lvl w:ilvl="0" w:tentative="0">
      <w:start w:val="1"/>
      <w:numFmt w:val="decimal"/>
      <w:lvlText w:val="%1."/>
      <w:lvlJc w:val="left"/>
      <w:rPr>
        <w:color w:val="3370FF"/>
      </w:rPr>
    </w:lvl>
  </w:abstractNum>
  <w:abstractNum w:abstractNumId="8">
    <w:nsid w:val="0248C179"/>
    <w:multiLevelType w:val="singleLevel"/>
    <w:tmpl w:val="0248C179"/>
    <w:lvl w:ilvl="0" w:tentative="0">
      <w:start w:val="7"/>
      <w:numFmt w:val="decimal"/>
      <w:lvlText w:val="%1."/>
      <w:lvlJc w:val="left"/>
      <w:rPr>
        <w:color w:val="3370FF"/>
      </w:rPr>
    </w:lvl>
  </w:abstractNum>
  <w:abstractNum w:abstractNumId="9">
    <w:nsid w:val="03D62ECE"/>
    <w:multiLevelType w:val="singleLevel"/>
    <w:tmpl w:val="03D62ECE"/>
    <w:lvl w:ilvl="0" w:tentative="0">
      <w:start w:val="4"/>
      <w:numFmt w:val="decimal"/>
      <w:lvlText w:val="%1."/>
      <w:lvlJc w:val="left"/>
      <w:rPr>
        <w:color w:val="3370FF"/>
      </w:rPr>
    </w:lvl>
  </w:abstractNum>
  <w:abstractNum w:abstractNumId="10">
    <w:nsid w:val="25B654F3"/>
    <w:multiLevelType w:val="singleLevel"/>
    <w:tmpl w:val="25B654F3"/>
    <w:lvl w:ilvl="0" w:tentative="0">
      <w:start w:val="5"/>
      <w:numFmt w:val="decimal"/>
      <w:lvlText w:val="%1."/>
      <w:lvlJc w:val="left"/>
      <w:rPr>
        <w:color w:val="3370FF"/>
      </w:rPr>
    </w:lvl>
  </w:abstractNum>
  <w:abstractNum w:abstractNumId="11">
    <w:nsid w:val="2A8F537B"/>
    <w:multiLevelType w:val="singleLevel"/>
    <w:tmpl w:val="2A8F537B"/>
    <w:lvl w:ilvl="0" w:tentative="0">
      <w:start w:val="9"/>
      <w:numFmt w:val="decimal"/>
      <w:lvlText w:val="%1."/>
      <w:lvlJc w:val="left"/>
      <w:rPr>
        <w:color w:val="3370FF"/>
      </w:rPr>
    </w:lvl>
  </w:abstractNum>
  <w:abstractNum w:abstractNumId="12">
    <w:nsid w:val="4D4DC07F"/>
    <w:multiLevelType w:val="singleLevel"/>
    <w:tmpl w:val="4D4DC07F"/>
    <w:lvl w:ilvl="0" w:tentative="0">
      <w:start w:val="2"/>
      <w:numFmt w:val="lowerLetter"/>
      <w:lvlText w:val="%1."/>
      <w:lvlJc w:val="left"/>
      <w:rPr>
        <w:color w:val="3370FF"/>
      </w:rPr>
    </w:lvl>
  </w:abstractNum>
  <w:abstractNum w:abstractNumId="13">
    <w:nsid w:val="59ADCABA"/>
    <w:multiLevelType w:val="singleLevel"/>
    <w:tmpl w:val="59ADCABA"/>
    <w:lvl w:ilvl="0" w:tentative="0">
      <w:start w:val="1"/>
      <w:numFmt w:val="decimal"/>
      <w:lvlText w:val="%1."/>
      <w:lvlJc w:val="left"/>
      <w:rPr>
        <w:color w:val="3370FF"/>
      </w:rPr>
    </w:lvl>
  </w:abstractNum>
  <w:abstractNum w:abstractNumId="14">
    <w:nsid w:val="5A241D34"/>
    <w:multiLevelType w:val="singleLevel"/>
    <w:tmpl w:val="5A241D34"/>
    <w:lvl w:ilvl="0" w:tentative="0">
      <w:start w:val="10"/>
      <w:numFmt w:val="decimal"/>
      <w:lvlText w:val="%1."/>
      <w:lvlJc w:val="left"/>
      <w:rPr>
        <w:color w:val="3370FF"/>
      </w:rPr>
    </w:lvl>
  </w:abstractNum>
  <w:abstractNum w:abstractNumId="15">
    <w:nsid w:val="72183CF9"/>
    <w:multiLevelType w:val="singleLevel"/>
    <w:tmpl w:val="72183CF9"/>
    <w:lvl w:ilvl="0" w:tentative="0">
      <w:start w:val="6"/>
      <w:numFmt w:val="decimal"/>
      <w:lvlText w:val="%1."/>
      <w:lvlJc w:val="left"/>
      <w:rPr>
        <w:color w:val="3370FF"/>
      </w:rPr>
    </w:lvl>
  </w:abstractNum>
  <w:num w:numId="1">
    <w:abstractNumId w:val="7"/>
  </w:num>
  <w:num w:numId="2">
    <w:abstractNumId w:val="4"/>
  </w:num>
  <w:num w:numId="3">
    <w:abstractNumId w:val="13"/>
  </w:num>
  <w:num w:numId="4">
    <w:abstractNumId w:val="2"/>
  </w:num>
  <w:num w:numId="5">
    <w:abstractNumId w:val="1"/>
  </w:num>
  <w:num w:numId="6">
    <w:abstractNumId w:val="9"/>
  </w:num>
  <w:num w:numId="7">
    <w:abstractNumId w:val="10"/>
  </w:num>
  <w:num w:numId="8">
    <w:abstractNumId w:val="15"/>
  </w:num>
  <w:num w:numId="9">
    <w:abstractNumId w:val="8"/>
  </w:num>
  <w:num w:numId="10">
    <w:abstractNumId w:val="0"/>
  </w:num>
  <w:num w:numId="11">
    <w:abstractNumId w:val="11"/>
  </w:num>
  <w:num w:numId="12">
    <w:abstractNumId w:val="14"/>
  </w:num>
  <w:num w:numId="13">
    <w:abstractNumId w:val="3"/>
  </w:num>
  <w:num w:numId="14">
    <w:abstractNumId w:val="1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139DC"/>
    <w:rsid w:val="099D4426"/>
    <w:rsid w:val="23E22530"/>
    <w:rsid w:val="40D84E46"/>
    <w:rsid w:val="67364CC7"/>
    <w:rsid w:val="6BCE1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3806</Words>
  <Characters>3904</Characters>
  <TotalTime>20</TotalTime>
  <ScaleCrop>false</ScaleCrop>
  <LinksUpToDate>false</LinksUpToDate>
  <CharactersWithSpaces>3909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2026-04-23T09:26:00Z</dcterms:created>
  <dc:creator>Apache POI</dc:creator>
  <cp:lastModifiedBy>Administrator</cp:lastModifiedBy>
  <dcterms:modified xsi:type="dcterms:W3CDTF">2026-05-12T02:24:35Z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eyJoZGlkIjoiZGQwMWE3YjEzMTRlNDIwMjAxYmQ2Y2JkNThjZTc1NjUiLCJ1c2VySWQiOiIxNjQ5MDE4MDE3In0=</vt:lpwstr>
  </property>
  <property fmtid="{D5CDD505-2E9C-101B-9397-08002B2CF9AE}" pid="3" name="KSOProductBuildVer">
    <vt:lpwstr>2052-12.1.0.25225</vt:lpwstr>
  </property>
  <property fmtid="{D5CDD505-2E9C-101B-9397-08002B2CF9AE}" pid="4" name="ICV">
    <vt:lpwstr>4E427946DA6E486CA60BF3EFA9F09981_13</vt:lpwstr>
  </property>
</Properties>
</file>