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BAD288">
      <w:pPr>
        <w:pStyle w:val="2"/>
        <w:bidi w:val="0"/>
        <w:rPr>
          <w:rFonts w:hint="default" w:asciiTheme="minorHAnsi" w:hAnsiTheme="minorHAnsi" w:eastAsiaTheme="minorEastAsia" w:cstheme="minorBidi"/>
          <w:kern w:val="2"/>
          <w:sz w:val="36"/>
          <w:szCs w:val="36"/>
          <w:lang w:val="en-US" w:eastAsia="zh-CN" w:bidi="ar-SA"/>
        </w:rPr>
      </w:pPr>
      <w:r>
        <w:rPr>
          <w:rFonts w:hint="eastAsia"/>
          <w:sz w:val="32"/>
          <w:szCs w:val="32"/>
          <w:lang w:val="en-US" w:eastAsia="zh-CN"/>
        </w:rPr>
        <w:t>附件：信息化建设项目全过程咨询服务服务内容及要求</w:t>
      </w:r>
    </w:p>
    <w:p w14:paraId="07D5D733">
      <w:pPr>
        <w:keepNext/>
        <w:keepLines/>
        <w:widowControl w:val="0"/>
        <w:numPr>
          <w:ilvl w:val="0"/>
          <w:numId w:val="1"/>
        </w:numPr>
        <w:spacing w:before="340" w:after="330" w:line="576" w:lineRule="auto"/>
        <w:ind w:firstLine="883" w:firstLineChars="0"/>
        <w:jc w:val="both"/>
        <w:outlineLvl w:val="0"/>
        <w:rPr>
          <w:rFonts w:eastAsia="宋体" w:asciiTheme="minorHAnsi" w:hAnsiTheme="minorHAnsi" w:cstheme="minorBidi"/>
          <w:b/>
          <w:kern w:val="44"/>
          <w:sz w:val="32"/>
          <w:szCs w:val="32"/>
          <w:lang w:val="en-US" w:eastAsia="zh-CN" w:bidi="ar-SA"/>
        </w:rPr>
      </w:pPr>
      <w:r>
        <w:rPr>
          <w:rFonts w:hint="eastAsia" w:eastAsia="宋体" w:asciiTheme="minorHAnsi" w:hAnsiTheme="minorHAnsi" w:cstheme="minorBidi"/>
          <w:b/>
          <w:kern w:val="44"/>
          <w:sz w:val="32"/>
          <w:szCs w:val="32"/>
          <w:lang w:val="en-US" w:eastAsia="zh-CN" w:bidi="ar-SA"/>
        </w:rPr>
        <w:t>项目背景</w:t>
      </w:r>
    </w:p>
    <w:p w14:paraId="161796AC">
      <w:pPr>
        <w:spacing w:line="360" w:lineRule="auto"/>
        <w:ind w:firstLine="480" w:firstLineChars="200"/>
        <w:rPr>
          <w:rFonts w:eastAsia="宋体"/>
          <w:sz w:val="24"/>
        </w:rPr>
      </w:pPr>
      <w:r>
        <w:rPr>
          <w:rFonts w:eastAsia="宋体"/>
          <w:sz w:val="24"/>
        </w:rPr>
        <w:t xml:space="preserve">为全面落实本院 “十五五” 发展规划，锚定电子病历系统功能应用水平分级评价 </w:t>
      </w:r>
      <w:r>
        <w:rPr>
          <w:rFonts w:hint="eastAsia" w:eastAsia="宋体"/>
          <w:sz w:val="24"/>
          <w:lang w:val="en-US" w:eastAsia="zh-CN"/>
        </w:rPr>
        <w:t>6</w:t>
      </w:r>
      <w:r>
        <w:rPr>
          <w:rFonts w:eastAsia="宋体"/>
          <w:sz w:val="24"/>
        </w:rPr>
        <w:t xml:space="preserve"> 级、医院信息互联互通标准化成熟度测评 5 级、智慧医院分级评价 6 星的核心建设目标，现拟引入专业设计团队与监理团队，严格遵循</w:t>
      </w:r>
      <w:r>
        <w:rPr>
          <w:rFonts w:hint="eastAsia" w:eastAsia="宋体"/>
          <w:sz w:val="24"/>
        </w:rPr>
        <w:t>《中医医院信息与数字化建设规范（2024版）》、</w:t>
      </w:r>
      <w:r>
        <w:rPr>
          <w:rFonts w:eastAsia="宋体"/>
          <w:sz w:val="24"/>
        </w:rPr>
        <w:t>《</w:t>
      </w:r>
      <w:bookmarkStart w:id="6" w:name="_GoBack"/>
      <w:bookmarkEnd w:id="6"/>
      <w:r>
        <w:rPr>
          <w:rFonts w:eastAsia="宋体"/>
          <w:sz w:val="24"/>
        </w:rPr>
        <w:t>电子病历系统功能应用水平分级评价标准（试行）》</w:t>
      </w:r>
      <w:r>
        <w:rPr>
          <w:rFonts w:hint="eastAsia" w:eastAsia="宋体"/>
          <w:sz w:val="24"/>
        </w:rPr>
        <w:t>、</w:t>
      </w:r>
      <w:r>
        <w:rPr>
          <w:rFonts w:eastAsia="宋体"/>
          <w:sz w:val="24"/>
        </w:rPr>
        <w:t>《智慧医疗分级评价方法及标准 (2025 版)》等医疗信息化政策法规要求，其中设计团队需通过系统梳理本院现有信息系统架构、数据资源现状、业务流程痛点及技术支撑短板形成全景式现状分析报告，结合评级指标制定针对性建设方案，同步完成需求论证、可行性研究报告编制、初步设计、概算编制等全流程规划工作，为资金合规管控与节约提供前置支撑；监理团队需对项目建设全过程实施动态管控，涵盖建设阶段进度跟踪、技术方案落地监督、质量验收把关，全程防控合规风险、技术风险与各类建设风险，确保项目科学规划、合规推进、高质量落地，全面满足评级要求与医院长远发展需求。</w:t>
      </w:r>
    </w:p>
    <w:p w14:paraId="7BB61430">
      <w:pPr>
        <w:keepNext/>
        <w:keepLines/>
        <w:widowControl w:val="0"/>
        <w:numPr>
          <w:ilvl w:val="0"/>
          <w:numId w:val="1"/>
        </w:numPr>
        <w:spacing w:before="340" w:after="330" w:line="576" w:lineRule="auto"/>
        <w:ind w:firstLine="883" w:firstLineChars="0"/>
        <w:jc w:val="both"/>
        <w:outlineLvl w:val="0"/>
        <w:rPr>
          <w:rFonts w:eastAsia="宋体" w:asciiTheme="minorHAnsi" w:hAnsiTheme="minorHAnsi" w:cstheme="minorBidi"/>
          <w:b/>
          <w:kern w:val="44"/>
          <w:sz w:val="32"/>
          <w:szCs w:val="32"/>
          <w:lang w:val="en-US" w:eastAsia="zh-CN" w:bidi="ar-SA"/>
        </w:rPr>
      </w:pPr>
      <w:r>
        <w:rPr>
          <w:rFonts w:hint="eastAsia" w:eastAsia="宋体" w:asciiTheme="minorHAnsi" w:hAnsiTheme="minorHAnsi" w:cstheme="minorBidi"/>
          <w:b/>
          <w:kern w:val="44"/>
          <w:sz w:val="32"/>
          <w:szCs w:val="32"/>
          <w:lang w:val="en-US" w:eastAsia="zh-CN" w:bidi="ar-SA"/>
        </w:rPr>
        <w:t>服务内容</w:t>
      </w:r>
    </w:p>
    <w:p w14:paraId="7B3C112A">
      <w:pPr>
        <w:keepNext w:val="0"/>
        <w:keepLines w:val="0"/>
        <w:widowControl/>
        <w:numPr>
          <w:ilvl w:val="1"/>
          <w:numId w:val="0"/>
        </w:numPr>
        <w:spacing w:before="260" w:after="260" w:line="360" w:lineRule="auto"/>
        <w:ind w:left="420" w:leftChars="200" w:firstLine="643" w:firstLineChars="200"/>
        <w:jc w:val="both"/>
        <w:outlineLvl w:val="1"/>
        <w:rPr>
          <w:rFonts w:ascii="Arial" w:hAnsi="Arial" w:eastAsia="黑体" w:cstheme="minorBidi"/>
          <w:b/>
          <w:kern w:val="2"/>
          <w:sz w:val="32"/>
          <w:szCs w:val="24"/>
          <w:lang w:val="en-US" w:eastAsia="zh-CN" w:bidi="ar-SA"/>
        </w:rPr>
      </w:pPr>
      <w:bookmarkStart w:id="0" w:name="_Toc31808"/>
      <w:r>
        <w:rPr>
          <w:rFonts w:hint="eastAsia" w:ascii="Arial" w:hAnsi="Arial" w:eastAsia="黑体" w:cstheme="minorBidi"/>
          <w:b/>
          <w:kern w:val="2"/>
          <w:sz w:val="32"/>
          <w:szCs w:val="24"/>
          <w:lang w:val="en-US" w:eastAsia="zh-CN" w:bidi="ar-SA"/>
        </w:rPr>
        <w:t>2</w:t>
      </w:r>
      <w:r>
        <w:rPr>
          <w:rFonts w:ascii="Arial" w:hAnsi="Arial" w:eastAsia="黑体" w:cstheme="minorBidi"/>
          <w:b/>
          <w:kern w:val="2"/>
          <w:sz w:val="32"/>
          <w:szCs w:val="24"/>
          <w:lang w:val="en-US" w:eastAsia="zh-CN" w:bidi="ar-SA"/>
        </w:rPr>
        <w:t>.</w:t>
      </w:r>
      <w:r>
        <w:rPr>
          <w:rFonts w:hint="eastAsia" w:ascii="Arial" w:hAnsi="Arial" w:eastAsia="黑体" w:cstheme="minorBidi"/>
          <w:b/>
          <w:kern w:val="2"/>
          <w:sz w:val="32"/>
          <w:szCs w:val="24"/>
          <w:lang w:val="en-US" w:eastAsia="zh-CN" w:bidi="ar-SA"/>
        </w:rPr>
        <w:t>1</w:t>
      </w:r>
      <w:r>
        <w:rPr>
          <w:rFonts w:ascii="Arial" w:hAnsi="Arial" w:eastAsia="黑体" w:cstheme="minorBidi"/>
          <w:b/>
          <w:kern w:val="2"/>
          <w:sz w:val="32"/>
          <w:szCs w:val="24"/>
          <w:lang w:val="en-US" w:eastAsia="zh-CN" w:bidi="ar-SA"/>
        </w:rPr>
        <w:t xml:space="preserve"> </w:t>
      </w:r>
      <w:r>
        <w:rPr>
          <w:rFonts w:hint="eastAsia" w:ascii="Arial" w:hAnsi="Arial" w:eastAsia="黑体" w:cstheme="minorBidi"/>
          <w:b/>
          <w:kern w:val="2"/>
          <w:sz w:val="32"/>
          <w:szCs w:val="24"/>
          <w:lang w:val="en-US" w:eastAsia="zh-CN" w:bidi="ar-SA"/>
        </w:rPr>
        <w:t>咨询设计</w:t>
      </w:r>
      <w:r>
        <w:rPr>
          <w:rFonts w:ascii="Arial" w:hAnsi="Arial" w:eastAsia="黑体" w:cstheme="minorBidi"/>
          <w:b/>
          <w:kern w:val="2"/>
          <w:sz w:val="32"/>
          <w:szCs w:val="24"/>
          <w:lang w:val="en-US" w:eastAsia="zh-CN" w:bidi="ar-SA"/>
        </w:rPr>
        <w:t>方案</w:t>
      </w:r>
      <w:r>
        <w:rPr>
          <w:rFonts w:hint="eastAsia" w:ascii="Arial" w:hAnsi="Arial" w:eastAsia="黑体" w:cstheme="minorBidi"/>
          <w:b/>
          <w:kern w:val="2"/>
          <w:sz w:val="32"/>
          <w:szCs w:val="24"/>
          <w:lang w:val="en-US" w:eastAsia="zh-CN" w:bidi="ar-SA"/>
        </w:rPr>
        <w:t>及概算</w:t>
      </w:r>
      <w:r>
        <w:rPr>
          <w:rFonts w:ascii="Arial" w:hAnsi="Arial" w:eastAsia="黑体" w:cstheme="minorBidi"/>
          <w:b/>
          <w:kern w:val="2"/>
          <w:sz w:val="32"/>
          <w:szCs w:val="24"/>
          <w:lang w:val="en-US" w:eastAsia="zh-CN" w:bidi="ar-SA"/>
        </w:rPr>
        <w:t>编制</w:t>
      </w:r>
      <w:bookmarkEnd w:id="0"/>
    </w:p>
    <w:p w14:paraId="20097AA9">
      <w:pPr>
        <w:widowControl/>
        <w:numPr>
          <w:ilvl w:val="0"/>
          <w:numId w:val="0"/>
        </w:numPr>
        <w:spacing w:line="360" w:lineRule="auto"/>
        <w:ind w:left="480" w:firstLine="602" w:firstLineChars="200"/>
        <w:jc w:val="both"/>
        <w:outlineLvl w:val="2"/>
        <w:rPr>
          <w:rFonts w:eastAsia="宋体" w:asciiTheme="minorHAnsi" w:hAnsiTheme="minorHAnsi" w:cstheme="minorBidi"/>
          <w:b/>
          <w:kern w:val="2"/>
          <w:sz w:val="30"/>
          <w:szCs w:val="24"/>
          <w:lang w:val="en-US" w:eastAsia="zh-CN" w:bidi="ar-SA"/>
        </w:rPr>
      </w:pPr>
      <w:bookmarkStart w:id="1" w:name="_Toc27422"/>
      <w:r>
        <w:rPr>
          <w:rFonts w:hint="eastAsia" w:eastAsia="宋体" w:asciiTheme="minorHAnsi" w:hAnsiTheme="minorHAnsi" w:cstheme="minorBidi"/>
          <w:b/>
          <w:kern w:val="2"/>
          <w:sz w:val="30"/>
          <w:szCs w:val="24"/>
          <w:lang w:val="en-US" w:eastAsia="zh-CN" w:bidi="ar-SA"/>
        </w:rPr>
        <w:t>2</w:t>
      </w:r>
      <w:r>
        <w:rPr>
          <w:rFonts w:eastAsia="宋体" w:asciiTheme="minorHAnsi" w:hAnsiTheme="minorHAnsi" w:cstheme="minorBidi"/>
          <w:b/>
          <w:kern w:val="2"/>
          <w:sz w:val="30"/>
          <w:szCs w:val="24"/>
          <w:lang w:val="en-US" w:eastAsia="zh-CN" w:bidi="ar-SA"/>
        </w:rPr>
        <w:t>.</w:t>
      </w:r>
      <w:r>
        <w:rPr>
          <w:rFonts w:hint="eastAsia" w:eastAsia="宋体" w:asciiTheme="minorHAnsi" w:hAnsiTheme="minorHAnsi" w:cstheme="minorBidi"/>
          <w:b/>
          <w:kern w:val="2"/>
          <w:sz w:val="30"/>
          <w:szCs w:val="24"/>
          <w:lang w:val="en-US" w:eastAsia="zh-CN" w:bidi="ar-SA"/>
        </w:rPr>
        <w:t>1</w:t>
      </w:r>
      <w:r>
        <w:rPr>
          <w:rFonts w:eastAsia="宋体" w:asciiTheme="minorHAnsi" w:hAnsiTheme="minorHAnsi" w:cstheme="minorBidi"/>
          <w:b/>
          <w:kern w:val="2"/>
          <w:sz w:val="30"/>
          <w:szCs w:val="24"/>
          <w:lang w:val="en-US" w:eastAsia="zh-CN" w:bidi="ar-SA"/>
        </w:rPr>
        <w:t>.1 服务目标</w:t>
      </w:r>
      <w:bookmarkEnd w:id="1"/>
    </w:p>
    <w:p w14:paraId="53734F18">
      <w:pPr>
        <w:widowControl/>
        <w:spacing w:line="360" w:lineRule="auto"/>
        <w:ind w:firstLine="480" w:firstLineChars="200"/>
        <w:jc w:val="left"/>
        <w:rPr>
          <w:rFonts w:eastAsia="宋体"/>
          <w:sz w:val="24"/>
        </w:rPr>
      </w:pPr>
      <w:r>
        <w:rPr>
          <w:rFonts w:ascii="宋体" w:hAnsi="宋体" w:eastAsia="宋体" w:cs="宋体"/>
          <w:kern w:val="0"/>
          <w:sz w:val="24"/>
          <w:lang w:bidi="ar"/>
        </w:rPr>
        <w:t>编制符合国家、省医疗信息化项目建设规范的</w:t>
      </w:r>
      <w:r>
        <w:rPr>
          <w:rFonts w:hint="eastAsia" w:ascii="宋体" w:hAnsi="宋体" w:eastAsia="宋体" w:cs="宋体"/>
          <w:kern w:val="0"/>
          <w:sz w:val="24"/>
          <w:lang w:bidi="ar"/>
        </w:rPr>
        <w:t>咨询</w:t>
      </w:r>
      <w:r>
        <w:rPr>
          <w:rFonts w:ascii="宋体" w:hAnsi="宋体" w:eastAsia="宋体" w:cs="宋体"/>
          <w:kern w:val="0"/>
          <w:sz w:val="24"/>
          <w:lang w:bidi="ar"/>
        </w:rPr>
        <w:t>设计方案，清晰界定项目建设范围、技术标准、功能指标，确保方案具备 “可执行性、可验证性、可扩展性”；帮助客户梳理核心需求与医疗业务逻辑，将 “模糊需求” 转化为 “具体功能模块”，优化技术方案与资源配置，降低项目实施风险与成本；为项目后续招投标、施工建设、验收交付提供核心依据，确保各参与方对项目目标、技术路径、建设标准达成共识。</w:t>
      </w:r>
    </w:p>
    <w:p w14:paraId="6D8B80E2">
      <w:pPr>
        <w:widowControl/>
        <w:numPr>
          <w:ilvl w:val="0"/>
          <w:numId w:val="0"/>
        </w:numPr>
        <w:spacing w:line="360" w:lineRule="auto"/>
        <w:ind w:left="480" w:firstLine="602" w:firstLineChars="200"/>
        <w:jc w:val="both"/>
        <w:outlineLvl w:val="2"/>
        <w:rPr>
          <w:rFonts w:eastAsia="宋体" w:asciiTheme="minorHAnsi" w:hAnsiTheme="minorHAnsi" w:cstheme="minorBidi"/>
          <w:b/>
          <w:kern w:val="2"/>
          <w:sz w:val="30"/>
          <w:szCs w:val="24"/>
          <w:lang w:val="en-US" w:eastAsia="zh-CN" w:bidi="ar-SA"/>
        </w:rPr>
      </w:pPr>
      <w:bookmarkStart w:id="2" w:name="_Toc23094"/>
      <w:r>
        <w:rPr>
          <w:rFonts w:hint="eastAsia" w:eastAsia="宋体" w:asciiTheme="minorHAnsi" w:hAnsiTheme="minorHAnsi" w:cstheme="minorBidi"/>
          <w:b/>
          <w:kern w:val="2"/>
          <w:sz w:val="30"/>
          <w:szCs w:val="24"/>
          <w:lang w:val="en-US" w:eastAsia="zh-CN" w:bidi="ar-SA"/>
        </w:rPr>
        <w:t>2</w:t>
      </w:r>
      <w:r>
        <w:rPr>
          <w:rFonts w:eastAsia="宋体" w:asciiTheme="minorHAnsi" w:hAnsiTheme="minorHAnsi" w:cstheme="minorBidi"/>
          <w:b/>
          <w:kern w:val="2"/>
          <w:sz w:val="30"/>
          <w:szCs w:val="24"/>
          <w:lang w:val="en-US" w:eastAsia="zh-CN" w:bidi="ar-SA"/>
        </w:rPr>
        <w:t>.</w:t>
      </w:r>
      <w:r>
        <w:rPr>
          <w:rFonts w:hint="eastAsia" w:eastAsia="宋体" w:asciiTheme="minorHAnsi" w:hAnsiTheme="minorHAnsi" w:cstheme="minorBidi"/>
          <w:b/>
          <w:kern w:val="2"/>
          <w:sz w:val="30"/>
          <w:szCs w:val="24"/>
          <w:lang w:val="en-US" w:eastAsia="zh-CN" w:bidi="ar-SA"/>
        </w:rPr>
        <w:t>1</w:t>
      </w:r>
      <w:r>
        <w:rPr>
          <w:rFonts w:eastAsia="宋体" w:asciiTheme="minorHAnsi" w:hAnsiTheme="minorHAnsi" w:cstheme="minorBidi"/>
          <w:b/>
          <w:kern w:val="2"/>
          <w:sz w:val="30"/>
          <w:szCs w:val="24"/>
          <w:lang w:val="en-US" w:eastAsia="zh-CN" w:bidi="ar-SA"/>
        </w:rPr>
        <w:t xml:space="preserve">.2 </w:t>
      </w:r>
      <w:r>
        <w:rPr>
          <w:rFonts w:hint="eastAsia" w:eastAsia="宋体" w:asciiTheme="minorHAnsi" w:hAnsiTheme="minorHAnsi" w:cstheme="minorBidi"/>
          <w:b/>
          <w:kern w:val="2"/>
          <w:sz w:val="30"/>
          <w:szCs w:val="24"/>
          <w:lang w:val="en-US" w:eastAsia="zh-CN" w:bidi="ar-SA"/>
        </w:rPr>
        <w:t>具体</w:t>
      </w:r>
      <w:r>
        <w:rPr>
          <w:rFonts w:eastAsia="宋体" w:asciiTheme="minorHAnsi" w:hAnsiTheme="minorHAnsi" w:cstheme="minorBidi"/>
          <w:b/>
          <w:kern w:val="2"/>
          <w:sz w:val="30"/>
          <w:szCs w:val="24"/>
          <w:lang w:val="en-US" w:eastAsia="zh-CN" w:bidi="ar-SA"/>
        </w:rPr>
        <w:t>工作开展</w:t>
      </w:r>
      <w:bookmarkEnd w:id="2"/>
    </w:p>
    <w:p w14:paraId="7CEE6E5A">
      <w:pPr>
        <w:widowControl/>
        <w:spacing w:line="360" w:lineRule="auto"/>
        <w:ind w:firstLine="480" w:firstLineChars="200"/>
        <w:jc w:val="left"/>
        <w:rPr>
          <w:rFonts w:eastAsia="宋体"/>
          <w:sz w:val="24"/>
        </w:rPr>
      </w:pPr>
      <w:r>
        <w:rPr>
          <w:rFonts w:ascii="宋体" w:hAnsi="宋体" w:eastAsia="宋体" w:cs="宋体"/>
          <w:kern w:val="0"/>
          <w:sz w:val="24"/>
          <w:lang w:bidi="ar"/>
        </w:rPr>
        <w:t>（一）前期准备阶段：组建 “技术 + 医疗业务 + 监理” 专项团队，涵盖</w:t>
      </w:r>
      <w:r>
        <w:rPr>
          <w:rFonts w:hint="eastAsia" w:ascii="宋体" w:hAnsi="宋体" w:eastAsia="宋体" w:cs="宋体"/>
          <w:kern w:val="0"/>
          <w:sz w:val="24"/>
          <w:lang w:bidi="ar"/>
        </w:rPr>
        <w:t>系统分析师</w:t>
      </w:r>
      <w:r>
        <w:rPr>
          <w:rFonts w:ascii="宋体" w:hAnsi="宋体" w:eastAsia="宋体" w:cs="宋体"/>
          <w:kern w:val="0"/>
          <w:sz w:val="24"/>
          <w:lang w:bidi="ar"/>
        </w:rPr>
        <w:t>、医疗业务分析师、监理顾问；通过 “访谈 + 问卷 + 现场调研” 方式，覆盖临床科室、IT 部门、管理层，梳理核心需求，形成《需求调研纪要》；调研现有医疗系统的硬件配置、软件架构、运行状态，形成《现有医疗系统评估报告》；收集医疗信息化政策规范、同类</w:t>
      </w:r>
      <w:r>
        <w:rPr>
          <w:rFonts w:hint="eastAsia" w:ascii="宋体" w:hAnsi="宋体" w:eastAsia="宋体" w:cs="宋体"/>
          <w:kern w:val="0"/>
          <w:sz w:val="24"/>
          <w:lang w:bidi="ar"/>
        </w:rPr>
        <w:t>医</w:t>
      </w:r>
      <w:r>
        <w:rPr>
          <w:rFonts w:ascii="宋体" w:hAnsi="宋体" w:eastAsia="宋体" w:cs="宋体"/>
          <w:kern w:val="0"/>
          <w:sz w:val="24"/>
          <w:lang w:bidi="ar"/>
        </w:rPr>
        <w:t>院项目案例、技术与市场数据。</w:t>
      </w:r>
    </w:p>
    <w:p w14:paraId="2C4FCD31">
      <w:pPr>
        <w:widowControl/>
        <w:spacing w:line="360" w:lineRule="auto"/>
        <w:ind w:firstLine="480" w:firstLineChars="200"/>
        <w:jc w:val="left"/>
        <w:rPr>
          <w:rFonts w:eastAsia="宋体"/>
          <w:sz w:val="24"/>
        </w:rPr>
      </w:pPr>
      <w:r>
        <w:rPr>
          <w:rFonts w:ascii="宋体" w:hAnsi="宋体" w:eastAsia="宋体" w:cs="宋体"/>
          <w:kern w:val="0"/>
          <w:sz w:val="24"/>
          <w:lang w:bidi="ar"/>
        </w:rPr>
        <w:t xml:space="preserve">（二）核心编制阶段：方案框架需包含 </w:t>
      </w:r>
      <w:r>
        <w:rPr>
          <w:rFonts w:hint="eastAsia" w:ascii="宋体" w:hAnsi="宋体" w:eastAsia="宋体" w:cs="宋体"/>
          <w:kern w:val="0"/>
          <w:sz w:val="24"/>
          <w:lang w:bidi="ar"/>
        </w:rPr>
        <w:t>9</w:t>
      </w:r>
      <w:r>
        <w:rPr>
          <w:rFonts w:ascii="宋体" w:hAnsi="宋体" w:eastAsia="宋体" w:cs="宋体"/>
          <w:kern w:val="0"/>
          <w:sz w:val="24"/>
          <w:lang w:bidi="ar"/>
        </w:rPr>
        <w:t>个核心章节（项目概述、需求分析、技术方案设计、功能模块设计、系统集成方案、资源配置计划、实施进度计划、</w:t>
      </w:r>
      <w:r>
        <w:rPr>
          <w:rFonts w:hint="eastAsia" w:ascii="宋体" w:hAnsi="宋体" w:eastAsia="宋体" w:cs="宋体"/>
          <w:kern w:val="0"/>
          <w:sz w:val="24"/>
          <w:lang w:bidi="ar"/>
        </w:rPr>
        <w:t>项目概算、</w:t>
      </w:r>
      <w:r>
        <w:rPr>
          <w:rFonts w:ascii="宋体" w:hAnsi="宋体" w:eastAsia="宋体" w:cs="宋体"/>
          <w:kern w:val="0"/>
          <w:sz w:val="24"/>
          <w:lang w:bidi="ar"/>
        </w:rPr>
        <w:t>验收与运维方案）；技术方案设计需结合四川省中</w:t>
      </w:r>
      <w:r>
        <w:rPr>
          <w:rFonts w:hint="eastAsia" w:ascii="宋体" w:hAnsi="宋体" w:eastAsia="宋体" w:cs="宋体"/>
          <w:kern w:val="0"/>
          <w:sz w:val="24"/>
          <w:lang w:bidi="ar"/>
        </w:rPr>
        <w:t>医院</w:t>
      </w:r>
      <w:r>
        <w:rPr>
          <w:rFonts w:ascii="宋体" w:hAnsi="宋体" w:eastAsia="宋体" w:cs="宋体"/>
          <w:kern w:val="0"/>
          <w:sz w:val="24"/>
          <w:lang w:bidi="ar"/>
        </w:rPr>
        <w:t>业务特点，选择适配的架构模式与技术路径（如私有云部署保障患者数据安全）；功能模块按 “模块 - 子模块 - 功能点” 层级拆解，明确每个功能点的实现逻辑；资源配置测算需根据医疗业务性能需求确定硬件配置，按功能模块复杂度测算软件开发人力；实施计划按 “阶段 - 任务 - 子任务” 拆解，明确依赖关系、时间节点、责任人。</w:t>
      </w:r>
      <w:r>
        <w:rPr>
          <w:rFonts w:hint="eastAsia" w:ascii="宋体" w:hAnsi="宋体" w:eastAsia="宋体" w:cs="宋体"/>
          <w:kern w:val="0"/>
          <w:sz w:val="24"/>
          <w:lang w:bidi="ar"/>
        </w:rPr>
        <w:t>概算部分，定制软件部分通过功能点估算法，实现 “功能拆解 - 复杂度评估 - 成本测算” 标准化流程；成品软件购置及硬件部分结合医疗软件运行需求，精准测算成品软件及设备采购、部署及运维成本；</w:t>
      </w:r>
    </w:p>
    <w:p w14:paraId="37B84D77">
      <w:pPr>
        <w:widowControl/>
        <w:spacing w:line="360" w:lineRule="auto"/>
        <w:ind w:firstLine="480" w:firstLineChars="200"/>
        <w:jc w:val="left"/>
        <w:rPr>
          <w:rFonts w:eastAsia="宋体"/>
          <w:sz w:val="24"/>
        </w:rPr>
      </w:pPr>
      <w:r>
        <w:rPr>
          <w:rFonts w:ascii="宋体" w:hAnsi="宋体" w:eastAsia="宋体" w:cs="宋体"/>
          <w:kern w:val="0"/>
          <w:sz w:val="24"/>
          <w:lang w:bidi="ar"/>
        </w:rPr>
        <w:t>（三）方案评审与优化阶段：内部评审由技术专家、业务分析师、</w:t>
      </w:r>
      <w:r>
        <w:rPr>
          <w:rFonts w:hint="eastAsia" w:ascii="宋体" w:hAnsi="宋体" w:eastAsia="宋体" w:cs="宋体"/>
          <w:kern w:val="0"/>
          <w:sz w:val="24"/>
          <w:lang w:bidi="ar"/>
        </w:rPr>
        <w:t>专家</w:t>
      </w:r>
      <w:r>
        <w:rPr>
          <w:rFonts w:ascii="宋体" w:hAnsi="宋体" w:eastAsia="宋体" w:cs="宋体"/>
          <w:kern w:val="0"/>
          <w:sz w:val="24"/>
          <w:lang w:bidi="ar"/>
        </w:rPr>
        <w:t>顾问分别审核技术可行性、业务适配性、实施计划合理性；客户评审组织业务部门、IT 部门审核，确认需求匹配度；根据评审意见修改完善方案。</w:t>
      </w:r>
    </w:p>
    <w:p w14:paraId="586705F5">
      <w:pPr>
        <w:widowControl/>
        <w:spacing w:line="360" w:lineRule="auto"/>
        <w:ind w:firstLine="480" w:firstLineChars="200"/>
        <w:jc w:val="left"/>
        <w:rPr>
          <w:rFonts w:hint="eastAsia" w:ascii="宋体" w:hAnsi="宋体" w:eastAsia="宋体" w:cs="宋体"/>
          <w:kern w:val="0"/>
          <w:sz w:val="24"/>
          <w:lang w:bidi="ar"/>
        </w:rPr>
      </w:pPr>
      <w:r>
        <w:rPr>
          <w:rFonts w:ascii="宋体" w:hAnsi="宋体" w:eastAsia="宋体" w:cs="宋体"/>
          <w:kern w:val="0"/>
          <w:sz w:val="24"/>
          <w:lang w:bidi="ar"/>
        </w:rPr>
        <w:t>（四）方案交付与后续服务阶段：交付 “</w:t>
      </w:r>
      <w:r>
        <w:rPr>
          <w:rFonts w:hint="eastAsia" w:ascii="宋体" w:hAnsi="宋体" w:eastAsia="宋体" w:cs="宋体"/>
          <w:kern w:val="0"/>
          <w:sz w:val="24"/>
          <w:lang w:bidi="ar"/>
        </w:rPr>
        <w:t>咨询设计</w:t>
      </w:r>
      <w:r>
        <w:rPr>
          <w:rFonts w:ascii="宋体" w:hAnsi="宋体" w:eastAsia="宋体" w:cs="宋体"/>
          <w:kern w:val="0"/>
          <w:sz w:val="24"/>
          <w:lang w:bidi="ar"/>
        </w:rPr>
        <w:t>方案 + 配套文档”，包括《需求调研纪要》《现有医疗系统评估报告》；协助客户开展供应商选型、技术方案交底、分阶段验收；项目交付后 1 年内提供运维优化建议、技术升级咨询。</w:t>
      </w:r>
    </w:p>
    <w:p w14:paraId="5AFDE9B1">
      <w:pPr>
        <w:widowControl/>
        <w:spacing w:line="360" w:lineRule="auto"/>
        <w:ind w:firstLine="480" w:firstLineChars="200"/>
        <w:jc w:val="left"/>
        <w:rPr>
          <w:rFonts w:eastAsia="宋体"/>
          <w:sz w:val="24"/>
        </w:rPr>
      </w:pPr>
      <w:r>
        <w:rPr>
          <w:rFonts w:hint="eastAsia" w:ascii="宋体" w:hAnsi="宋体" w:eastAsia="宋体" w:cs="宋体"/>
          <w:kern w:val="0"/>
          <w:sz w:val="24"/>
          <w:lang w:bidi="ar"/>
        </w:rPr>
        <w:t>（五）交付物清单：《咨询设计方案》《概算清单》及过程资料纸质版及电子版，纸质版交付份数按甲方要求。</w:t>
      </w:r>
    </w:p>
    <w:p w14:paraId="57FBFC02">
      <w:pPr>
        <w:keepNext w:val="0"/>
        <w:keepLines w:val="0"/>
        <w:widowControl/>
        <w:numPr>
          <w:ilvl w:val="1"/>
          <w:numId w:val="0"/>
        </w:numPr>
        <w:spacing w:before="260" w:after="260" w:line="360" w:lineRule="auto"/>
        <w:ind w:firstLine="643" w:firstLineChars="200"/>
        <w:jc w:val="both"/>
        <w:outlineLvl w:val="1"/>
        <w:rPr>
          <w:rFonts w:ascii="Arial" w:hAnsi="Arial" w:eastAsia="黑体" w:cstheme="minorBidi"/>
          <w:b/>
          <w:kern w:val="2"/>
          <w:sz w:val="32"/>
          <w:szCs w:val="24"/>
          <w:lang w:val="en-US" w:eastAsia="zh-CN" w:bidi="ar-SA"/>
        </w:rPr>
      </w:pPr>
      <w:bookmarkStart w:id="3" w:name="_Toc21505"/>
      <w:r>
        <w:rPr>
          <w:rFonts w:hint="eastAsia" w:ascii="Arial" w:hAnsi="Arial" w:eastAsia="黑体" w:cstheme="minorBidi"/>
          <w:b/>
          <w:kern w:val="2"/>
          <w:sz w:val="32"/>
          <w:szCs w:val="24"/>
          <w:lang w:val="en-US" w:eastAsia="zh-CN" w:bidi="ar-SA"/>
        </w:rPr>
        <w:t>2</w:t>
      </w:r>
      <w:r>
        <w:rPr>
          <w:rFonts w:ascii="Arial" w:hAnsi="Arial" w:eastAsia="黑体" w:cstheme="minorBidi"/>
          <w:b/>
          <w:kern w:val="2"/>
          <w:sz w:val="32"/>
          <w:szCs w:val="24"/>
          <w:lang w:val="en-US" w:eastAsia="zh-CN" w:bidi="ar-SA"/>
        </w:rPr>
        <w:t>.</w:t>
      </w:r>
      <w:r>
        <w:rPr>
          <w:rFonts w:hint="eastAsia" w:ascii="Arial" w:hAnsi="Arial" w:eastAsia="黑体" w:cstheme="minorBidi"/>
          <w:b/>
          <w:kern w:val="2"/>
          <w:sz w:val="32"/>
          <w:szCs w:val="24"/>
          <w:lang w:val="en-US" w:eastAsia="zh-CN" w:bidi="ar-SA"/>
        </w:rPr>
        <w:t>2</w:t>
      </w:r>
      <w:r>
        <w:rPr>
          <w:rFonts w:ascii="Arial" w:hAnsi="Arial" w:eastAsia="黑体" w:cstheme="minorBidi"/>
          <w:b/>
          <w:kern w:val="2"/>
          <w:sz w:val="32"/>
          <w:szCs w:val="24"/>
          <w:lang w:val="en-US" w:eastAsia="zh-CN" w:bidi="ar-SA"/>
        </w:rPr>
        <w:t xml:space="preserve"> 监理</w:t>
      </w:r>
      <w:bookmarkEnd w:id="3"/>
      <w:r>
        <w:rPr>
          <w:rFonts w:hint="eastAsia" w:ascii="Arial" w:hAnsi="Arial" w:eastAsia="黑体" w:cstheme="minorBidi"/>
          <w:b/>
          <w:kern w:val="2"/>
          <w:sz w:val="32"/>
          <w:szCs w:val="24"/>
          <w:lang w:val="en-US" w:eastAsia="zh-CN" w:bidi="ar-SA"/>
        </w:rPr>
        <w:t>服务</w:t>
      </w:r>
    </w:p>
    <w:p w14:paraId="6BBCC3F0">
      <w:pPr>
        <w:widowControl/>
        <w:numPr>
          <w:ilvl w:val="0"/>
          <w:numId w:val="0"/>
        </w:numPr>
        <w:spacing w:line="360" w:lineRule="auto"/>
        <w:ind w:left="278" w:firstLine="602" w:firstLineChars="200"/>
        <w:jc w:val="both"/>
        <w:outlineLvl w:val="2"/>
        <w:rPr>
          <w:rFonts w:eastAsia="宋体" w:asciiTheme="minorHAnsi" w:hAnsiTheme="minorHAnsi" w:cstheme="minorBidi"/>
          <w:b/>
          <w:kern w:val="2"/>
          <w:sz w:val="30"/>
          <w:szCs w:val="24"/>
          <w:lang w:val="en-US" w:eastAsia="zh-CN" w:bidi="ar-SA"/>
        </w:rPr>
      </w:pPr>
      <w:bookmarkStart w:id="4" w:name="_Toc5411"/>
      <w:r>
        <w:rPr>
          <w:rFonts w:hint="eastAsia" w:eastAsia="宋体" w:asciiTheme="minorHAnsi" w:hAnsiTheme="minorHAnsi" w:cstheme="minorBidi"/>
          <w:b/>
          <w:kern w:val="2"/>
          <w:sz w:val="30"/>
          <w:szCs w:val="24"/>
          <w:lang w:val="en-US" w:eastAsia="zh-CN" w:bidi="ar-SA"/>
        </w:rPr>
        <w:t>2</w:t>
      </w:r>
      <w:r>
        <w:rPr>
          <w:rFonts w:eastAsia="宋体" w:asciiTheme="minorHAnsi" w:hAnsiTheme="minorHAnsi" w:cstheme="minorBidi"/>
          <w:b/>
          <w:kern w:val="2"/>
          <w:sz w:val="30"/>
          <w:szCs w:val="24"/>
          <w:lang w:val="en-US" w:eastAsia="zh-CN" w:bidi="ar-SA"/>
        </w:rPr>
        <w:t>.</w:t>
      </w:r>
      <w:r>
        <w:rPr>
          <w:rFonts w:hint="eastAsia" w:eastAsia="宋体" w:asciiTheme="minorHAnsi" w:hAnsiTheme="minorHAnsi" w:cstheme="minorBidi"/>
          <w:b/>
          <w:kern w:val="2"/>
          <w:sz w:val="30"/>
          <w:szCs w:val="24"/>
          <w:lang w:val="en-US" w:eastAsia="zh-CN" w:bidi="ar-SA"/>
        </w:rPr>
        <w:t>2</w:t>
      </w:r>
      <w:r>
        <w:rPr>
          <w:rFonts w:eastAsia="宋体" w:asciiTheme="minorHAnsi" w:hAnsiTheme="minorHAnsi" w:cstheme="minorBidi"/>
          <w:b/>
          <w:kern w:val="2"/>
          <w:sz w:val="30"/>
          <w:szCs w:val="24"/>
          <w:lang w:val="en-US" w:eastAsia="zh-CN" w:bidi="ar-SA"/>
        </w:rPr>
        <w:t>.1 监理</w:t>
      </w:r>
      <w:bookmarkEnd w:id="4"/>
      <w:r>
        <w:rPr>
          <w:rFonts w:hint="eastAsia" w:eastAsia="宋体" w:asciiTheme="minorHAnsi" w:hAnsiTheme="minorHAnsi" w:cstheme="minorBidi"/>
          <w:b/>
          <w:kern w:val="2"/>
          <w:sz w:val="30"/>
          <w:szCs w:val="24"/>
          <w:lang w:val="en-US" w:eastAsia="zh-CN" w:bidi="ar-SA"/>
        </w:rPr>
        <w:t>服务各阶段工作要求</w:t>
      </w:r>
    </w:p>
    <w:p w14:paraId="121AE21D">
      <w:pPr>
        <w:widowControl w:val="0"/>
        <w:numPr>
          <w:ilvl w:val="0"/>
          <w:numId w:val="0"/>
        </w:numPr>
        <w:spacing w:line="360" w:lineRule="auto"/>
        <w:ind w:left="278" w:firstLine="482" w:firstLineChars="200"/>
        <w:jc w:val="both"/>
        <w:outlineLvl w:val="2"/>
        <w:rPr>
          <w:rFonts w:hint="eastAsia" w:ascii="宋体" w:hAnsi="宋体" w:eastAsia="宋体" w:cstheme="minorBidi"/>
          <w:b/>
          <w:bCs/>
          <w:kern w:val="2"/>
          <w:sz w:val="24"/>
          <w:szCs w:val="24"/>
          <w:lang w:val="en-US" w:eastAsia="zh-CN" w:bidi="ar-SA"/>
        </w:rPr>
      </w:pPr>
      <w:r>
        <w:rPr>
          <w:rFonts w:ascii="宋体" w:hAnsi="宋体" w:eastAsia="宋体" w:cstheme="minorBidi"/>
          <w:b/>
          <w:bCs/>
          <w:kern w:val="2"/>
          <w:sz w:val="24"/>
          <w:szCs w:val="24"/>
          <w:lang w:val="en-US" w:eastAsia="zh-CN" w:bidi="ar-SA"/>
        </w:rPr>
        <w:t>（一）合同签订阶段</w:t>
      </w:r>
    </w:p>
    <w:p w14:paraId="07F50E2C">
      <w:pPr>
        <w:numPr>
          <w:ilvl w:val="0"/>
          <w:numId w:val="2"/>
        </w:numPr>
        <w:spacing w:line="360" w:lineRule="auto"/>
        <w:ind w:left="373" w:leftChars="173" w:hanging="10" w:hangingChars="4"/>
        <w:rPr>
          <w:rFonts w:hint="eastAsia" w:ascii="宋体" w:hAnsi="宋体" w:eastAsia="宋体"/>
          <w:sz w:val="24"/>
        </w:rPr>
      </w:pPr>
      <w:r>
        <w:rPr>
          <w:rFonts w:ascii="宋体" w:hAnsi="宋体" w:eastAsia="宋体"/>
          <w:b/>
          <w:bCs/>
          <w:sz w:val="24"/>
        </w:rPr>
        <w:t>协助合同谈判</w:t>
      </w:r>
      <w:r>
        <w:rPr>
          <w:rFonts w:ascii="宋体" w:hAnsi="宋体" w:eastAsia="宋体"/>
          <w:sz w:val="24"/>
        </w:rPr>
        <w:t>：参与业主与承建单位的合同谈判过程，从专业监理角</w:t>
      </w:r>
    </w:p>
    <w:p w14:paraId="35267CB2">
      <w:pPr>
        <w:tabs>
          <w:tab w:val="left" w:pos="720"/>
        </w:tabs>
        <w:spacing w:line="360" w:lineRule="auto"/>
        <w:ind w:firstLine="0" w:firstLineChars="0"/>
        <w:rPr>
          <w:rFonts w:hint="eastAsia" w:ascii="宋体" w:hAnsi="宋体" w:eastAsia="宋体"/>
          <w:sz w:val="24"/>
        </w:rPr>
      </w:pPr>
      <w:r>
        <w:rPr>
          <w:rFonts w:ascii="宋体" w:hAnsi="宋体" w:eastAsia="宋体"/>
          <w:sz w:val="24"/>
        </w:rPr>
        <w:t>度对合同条款进行分析和评估，重点关注项目范围、技术要求、工期、质量标准、价款支付方式、违约责任等关键内容，为业主提供合理建议，确保合同条款清晰、明确、保护业主合法权益。</w:t>
      </w:r>
    </w:p>
    <w:p w14:paraId="5ACE54AE">
      <w:pPr>
        <w:numPr>
          <w:ilvl w:val="0"/>
          <w:numId w:val="2"/>
        </w:numPr>
        <w:spacing w:line="360" w:lineRule="auto"/>
        <w:ind w:left="-2" w:leftChars="-1" w:firstLine="426" w:firstLineChars="177"/>
        <w:rPr>
          <w:rFonts w:hint="eastAsia" w:ascii="宋体" w:hAnsi="宋体" w:eastAsia="宋体"/>
          <w:sz w:val="24"/>
        </w:rPr>
      </w:pPr>
      <w:r>
        <w:rPr>
          <w:rFonts w:hint="eastAsia" w:ascii="宋体" w:hAnsi="宋体" w:eastAsia="宋体"/>
          <w:b/>
          <w:bCs/>
          <w:sz w:val="24"/>
        </w:rPr>
        <w:t>协助</w:t>
      </w:r>
      <w:r>
        <w:rPr>
          <w:rFonts w:ascii="宋体" w:hAnsi="宋体" w:eastAsia="宋体"/>
          <w:b/>
          <w:bCs/>
          <w:sz w:val="24"/>
        </w:rPr>
        <w:t>合同审查</w:t>
      </w:r>
      <w:r>
        <w:rPr>
          <w:rFonts w:ascii="宋体" w:hAnsi="宋体" w:eastAsia="宋体"/>
          <w:sz w:val="24"/>
        </w:rPr>
        <w:t>：对合同草案进行详细审查，检查合同是否符合</w:t>
      </w:r>
      <w:r>
        <w:rPr>
          <w:rFonts w:hint="eastAsia" w:ascii="宋体" w:hAnsi="宋体" w:eastAsia="宋体"/>
          <w:sz w:val="24"/>
        </w:rPr>
        <w:t>招投标文件</w:t>
      </w:r>
      <w:r>
        <w:rPr>
          <w:rFonts w:ascii="宋体" w:hAnsi="宋体" w:eastAsia="宋体"/>
          <w:sz w:val="24"/>
        </w:rPr>
        <w:t>、行业规范以及项目实际需求，审查合同条款之间的逻辑一致性和完整性，避免出现歧义或漏洞。针对发现的问题，及时与业主和承建单位沟通，提出修改意见，确保合同签订的合法性和有效性。</w:t>
      </w:r>
    </w:p>
    <w:p w14:paraId="24216DF0">
      <w:pPr>
        <w:widowControl w:val="0"/>
        <w:numPr>
          <w:ilvl w:val="0"/>
          <w:numId w:val="0"/>
        </w:numPr>
        <w:spacing w:line="360" w:lineRule="auto"/>
        <w:ind w:left="278" w:firstLine="482" w:firstLineChars="200"/>
        <w:jc w:val="both"/>
        <w:outlineLvl w:val="2"/>
        <w:rPr>
          <w:rFonts w:hint="eastAsia" w:ascii="宋体" w:hAnsi="宋体" w:eastAsia="宋体" w:cstheme="minorBidi"/>
          <w:b/>
          <w:bCs/>
          <w:kern w:val="2"/>
          <w:sz w:val="24"/>
          <w:szCs w:val="24"/>
          <w:lang w:val="en-US" w:eastAsia="zh-CN" w:bidi="ar-SA"/>
        </w:rPr>
      </w:pPr>
      <w:r>
        <w:rPr>
          <w:rFonts w:ascii="宋体" w:hAnsi="宋体" w:eastAsia="宋体" w:cstheme="minorBidi"/>
          <w:b/>
          <w:bCs/>
          <w:kern w:val="2"/>
          <w:sz w:val="24"/>
          <w:szCs w:val="24"/>
          <w:lang w:val="en-US" w:eastAsia="zh-CN" w:bidi="ar-SA"/>
        </w:rPr>
        <w:t>（二）实施阶段</w:t>
      </w:r>
    </w:p>
    <w:p w14:paraId="70A208A8">
      <w:pPr>
        <w:numPr>
          <w:ilvl w:val="0"/>
          <w:numId w:val="3"/>
        </w:numPr>
        <w:spacing w:line="360" w:lineRule="auto"/>
        <w:ind w:left="-2" w:leftChars="-1" w:firstLine="426" w:firstLineChars="177"/>
        <w:rPr>
          <w:rFonts w:hint="eastAsia" w:ascii="宋体" w:hAnsi="宋体" w:eastAsia="宋体"/>
          <w:sz w:val="24"/>
        </w:rPr>
      </w:pPr>
      <w:r>
        <w:rPr>
          <w:rFonts w:ascii="宋体" w:hAnsi="宋体" w:eastAsia="宋体"/>
          <w:b/>
          <w:bCs/>
          <w:sz w:val="24"/>
        </w:rPr>
        <w:t>质量控制</w:t>
      </w:r>
    </w:p>
    <w:p w14:paraId="74FE08C6">
      <w:pPr>
        <w:pStyle w:val="15"/>
        <w:numPr>
          <w:ilvl w:val="1"/>
          <w:numId w:val="3"/>
        </w:numPr>
        <w:ind w:left="0" w:firstLine="424" w:firstLineChars="176"/>
        <w:jc w:val="left"/>
        <w:rPr>
          <w:rFonts w:hint="eastAsia" w:ascii="宋体" w:hAnsi="宋体"/>
        </w:rPr>
      </w:pPr>
      <w:r>
        <w:rPr>
          <w:rFonts w:ascii="宋体" w:hAnsi="宋体"/>
          <w:b/>
          <w:bCs/>
        </w:rPr>
        <w:t>审查实施方案</w:t>
      </w:r>
      <w:r>
        <w:rPr>
          <w:rFonts w:ascii="宋体" w:hAnsi="宋体"/>
        </w:rPr>
        <w:t>：</w:t>
      </w:r>
    </w:p>
    <w:p w14:paraId="34D08FBD">
      <w:pPr>
        <w:pStyle w:val="15"/>
        <w:numPr>
          <w:ilvl w:val="2"/>
          <w:numId w:val="3"/>
        </w:numPr>
        <w:ind w:left="0" w:firstLine="283" w:firstLineChars="118"/>
        <w:jc w:val="left"/>
        <w:rPr>
          <w:rFonts w:hint="eastAsia" w:ascii="宋体" w:hAnsi="宋体"/>
        </w:rPr>
      </w:pPr>
      <w:r>
        <w:rPr>
          <w:rFonts w:ascii="宋体" w:hAnsi="宋体"/>
        </w:rPr>
        <w:t>对承建单位提交的项目实施方案进行审查，包括技术方</w:t>
      </w:r>
    </w:p>
    <w:p w14:paraId="1450DA2B">
      <w:pPr>
        <w:tabs>
          <w:tab w:val="left" w:pos="720"/>
        </w:tabs>
        <w:spacing w:line="360" w:lineRule="auto"/>
        <w:ind w:firstLine="283" w:firstLineChars="118"/>
        <w:jc w:val="left"/>
        <w:rPr>
          <w:rFonts w:hint="eastAsia" w:ascii="宋体" w:hAnsi="宋体" w:eastAsia="宋体"/>
          <w:sz w:val="24"/>
        </w:rPr>
      </w:pPr>
      <w:r>
        <w:rPr>
          <w:rFonts w:ascii="宋体" w:hAnsi="宋体" w:eastAsia="宋体"/>
          <w:sz w:val="24"/>
        </w:rPr>
        <w:t>案、施工组织设计、质量保证措施等，评估方案的合理性、可行性，提出审查意见并监督承建单位进行整改完善</w:t>
      </w:r>
      <w:r>
        <w:rPr>
          <w:rFonts w:hint="eastAsia" w:ascii="宋体" w:hAnsi="宋体" w:eastAsia="宋体"/>
          <w:sz w:val="24"/>
        </w:rPr>
        <w:t>；</w:t>
      </w:r>
    </w:p>
    <w:p w14:paraId="6D35248C">
      <w:pPr>
        <w:pStyle w:val="15"/>
        <w:numPr>
          <w:ilvl w:val="2"/>
          <w:numId w:val="3"/>
        </w:numPr>
        <w:ind w:left="0" w:firstLine="283" w:firstLineChars="118"/>
        <w:jc w:val="left"/>
        <w:rPr>
          <w:rFonts w:hint="eastAsia" w:ascii="宋体" w:hAnsi="宋体"/>
        </w:rPr>
      </w:pPr>
      <w:r>
        <w:rPr>
          <w:rFonts w:hint="eastAsia" w:ascii="宋体" w:hAnsi="宋体"/>
        </w:rPr>
        <w:t>审查需求规格说明书，确保需求完整、准确、清晰，无歧义，并且与用户的业务需求和期望相一致；</w:t>
      </w:r>
    </w:p>
    <w:p w14:paraId="4A38D9AF">
      <w:pPr>
        <w:pStyle w:val="15"/>
        <w:numPr>
          <w:ilvl w:val="2"/>
          <w:numId w:val="3"/>
        </w:numPr>
        <w:ind w:left="0" w:firstLine="283" w:firstLineChars="118"/>
        <w:jc w:val="left"/>
        <w:rPr>
          <w:rFonts w:hint="eastAsia" w:ascii="宋体" w:hAnsi="宋体"/>
        </w:rPr>
      </w:pPr>
      <w:r>
        <w:rPr>
          <w:rFonts w:hint="eastAsia" w:ascii="宋体" w:hAnsi="宋体"/>
        </w:rPr>
        <w:t>审查软件的总体设计和详细设计文档，确保设计符合需求规格说明书的要求，遵循相关的设计原则和规范。</w:t>
      </w:r>
    </w:p>
    <w:p w14:paraId="07BE64BE">
      <w:pPr>
        <w:numPr>
          <w:ilvl w:val="1"/>
          <w:numId w:val="3"/>
        </w:numPr>
        <w:spacing w:line="360" w:lineRule="auto"/>
        <w:ind w:left="0" w:firstLine="284" w:firstLineChars="118"/>
        <w:jc w:val="left"/>
        <w:rPr>
          <w:rFonts w:hint="eastAsia" w:ascii="宋体" w:hAnsi="宋体" w:eastAsia="宋体"/>
          <w:sz w:val="24"/>
        </w:rPr>
      </w:pPr>
      <w:r>
        <w:rPr>
          <w:rFonts w:ascii="宋体" w:hAnsi="宋体" w:eastAsia="宋体"/>
          <w:b/>
          <w:bCs/>
          <w:sz w:val="24"/>
        </w:rPr>
        <w:t>设备和材料检验</w:t>
      </w:r>
      <w:r>
        <w:rPr>
          <w:rFonts w:ascii="宋体" w:hAnsi="宋体" w:eastAsia="宋体"/>
          <w:sz w:val="24"/>
        </w:rPr>
        <w:t>：对进入施工现场的设备、材料进行验收，检查其规格、型号、质量证明文件等是否符合合同要求和相关标准，防止不合格产品用于项目建设。</w:t>
      </w:r>
    </w:p>
    <w:p w14:paraId="3FFBFF97">
      <w:pPr>
        <w:numPr>
          <w:ilvl w:val="1"/>
          <w:numId w:val="3"/>
        </w:numPr>
        <w:spacing w:line="360" w:lineRule="auto"/>
        <w:ind w:left="0" w:firstLine="284" w:firstLineChars="118"/>
        <w:jc w:val="left"/>
        <w:rPr>
          <w:rFonts w:hint="eastAsia" w:ascii="宋体" w:hAnsi="宋体" w:eastAsia="宋体"/>
          <w:sz w:val="24"/>
        </w:rPr>
      </w:pPr>
      <w:r>
        <w:rPr>
          <w:rFonts w:hint="eastAsia" w:ascii="宋体" w:hAnsi="宋体" w:eastAsia="宋体"/>
          <w:b/>
          <w:bCs/>
          <w:sz w:val="24"/>
        </w:rPr>
        <w:t>软件开发过程监督</w:t>
      </w:r>
      <w:r>
        <w:rPr>
          <w:rFonts w:ascii="宋体" w:hAnsi="宋体" w:eastAsia="宋体"/>
          <w:sz w:val="24"/>
        </w:rPr>
        <w:t>：</w:t>
      </w:r>
    </w:p>
    <w:p w14:paraId="7EAA0650">
      <w:pPr>
        <w:pStyle w:val="15"/>
        <w:numPr>
          <w:ilvl w:val="2"/>
          <w:numId w:val="3"/>
        </w:numPr>
        <w:ind w:left="0" w:firstLine="283" w:firstLineChars="118"/>
        <w:jc w:val="left"/>
        <w:rPr>
          <w:rFonts w:hint="eastAsia" w:ascii="宋体" w:hAnsi="宋体"/>
        </w:rPr>
      </w:pPr>
      <w:r>
        <w:rPr>
          <w:rFonts w:ascii="宋体" w:hAnsi="宋体"/>
        </w:rPr>
        <w:t>对项目中</w:t>
      </w:r>
      <w:r>
        <w:rPr>
          <w:rFonts w:hint="eastAsia" w:ascii="宋体" w:hAnsi="宋体"/>
        </w:rPr>
        <w:t>涉及的软件开发，督促承建单位按照软件开发相关规范、标准进行开发，形成开发过程文档，</w:t>
      </w:r>
      <w:r>
        <w:rPr>
          <w:rFonts w:ascii="宋体" w:hAnsi="宋体"/>
        </w:rPr>
        <w:t>确保项目过程中产生的各类文档齐全，包括需求规格说明书、设计文档、测试文档、用户手册、项目管理文档等</w:t>
      </w:r>
      <w:r>
        <w:rPr>
          <w:rFonts w:hint="eastAsia" w:ascii="宋体" w:hAnsi="宋体"/>
        </w:rPr>
        <w:t>；</w:t>
      </w:r>
    </w:p>
    <w:p w14:paraId="51C76090">
      <w:pPr>
        <w:pStyle w:val="15"/>
        <w:numPr>
          <w:ilvl w:val="2"/>
          <w:numId w:val="3"/>
        </w:numPr>
        <w:ind w:left="0" w:firstLine="283" w:firstLineChars="118"/>
        <w:jc w:val="left"/>
        <w:rPr>
          <w:rFonts w:hint="eastAsia" w:ascii="宋体" w:hAnsi="宋体"/>
        </w:rPr>
      </w:pPr>
      <w:r>
        <w:rPr>
          <w:rFonts w:hint="eastAsia" w:ascii="宋体" w:hAnsi="宋体"/>
        </w:rPr>
        <w:t>应用系统的部署完成后节后合同、招投标文件等对系统进行功能核查，形成功能清单对照核查表；</w:t>
      </w:r>
    </w:p>
    <w:p w14:paraId="36211E60">
      <w:pPr>
        <w:pStyle w:val="15"/>
        <w:numPr>
          <w:ilvl w:val="2"/>
          <w:numId w:val="3"/>
        </w:numPr>
        <w:ind w:left="0" w:firstLine="424" w:firstLineChars="177"/>
        <w:jc w:val="left"/>
        <w:rPr>
          <w:rFonts w:hint="eastAsia" w:ascii="宋体" w:hAnsi="宋体"/>
        </w:rPr>
      </w:pPr>
      <w:r>
        <w:rPr>
          <w:rFonts w:hint="eastAsia" w:ascii="宋体" w:hAnsi="宋体"/>
        </w:rPr>
        <w:t>督促承建单位开展应用系统自测（</w:t>
      </w:r>
      <w:r>
        <w:rPr>
          <w:rFonts w:ascii="宋体" w:hAnsi="宋体"/>
        </w:rPr>
        <w:t>包括功能测试、性能测试、兼容性测试、安全性测试等</w:t>
      </w:r>
      <w:r>
        <w:rPr>
          <w:rFonts w:hint="eastAsia" w:ascii="宋体" w:hAnsi="宋体"/>
        </w:rPr>
        <w:t>），</w:t>
      </w:r>
      <w:r>
        <w:rPr>
          <w:rFonts w:ascii="宋体" w:hAnsi="宋体"/>
        </w:rPr>
        <w:t>检查测试记录和测试报告，确保测试结果真实、准确，对发现的缺陷进行跟踪和管理，确保缺陷得到及时修复。</w:t>
      </w:r>
    </w:p>
    <w:p w14:paraId="0ADFAC18">
      <w:pPr>
        <w:numPr>
          <w:ilvl w:val="1"/>
          <w:numId w:val="3"/>
        </w:numPr>
        <w:tabs>
          <w:tab w:val="left" w:pos="-101"/>
        </w:tabs>
        <w:spacing w:line="360" w:lineRule="auto"/>
        <w:ind w:left="0" w:firstLine="282" w:firstLineChars="117"/>
        <w:jc w:val="left"/>
        <w:rPr>
          <w:rFonts w:hint="eastAsia" w:ascii="宋体" w:hAnsi="宋体" w:eastAsia="宋体"/>
          <w:sz w:val="24"/>
        </w:rPr>
      </w:pPr>
      <w:r>
        <w:rPr>
          <w:rFonts w:ascii="宋体" w:hAnsi="宋体" w:eastAsia="宋体"/>
          <w:b/>
          <w:bCs/>
          <w:sz w:val="24"/>
        </w:rPr>
        <w:t>质量问题处理</w:t>
      </w:r>
      <w:r>
        <w:rPr>
          <w:rFonts w:ascii="宋体" w:hAnsi="宋体" w:eastAsia="宋体"/>
          <w:sz w:val="24"/>
        </w:rPr>
        <w:t>：建立质量问题报告和处理机制，对施工过程中出现的质量问题，及时下达监理通知单，要求承建单位分析原因，制定整改措施并限期整改。跟踪整改情况，对整改结果进行复查，确保质量问题得到彻底解决。</w:t>
      </w:r>
    </w:p>
    <w:p w14:paraId="53EAB7B0">
      <w:pPr>
        <w:numPr>
          <w:ilvl w:val="0"/>
          <w:numId w:val="3"/>
        </w:numPr>
        <w:tabs>
          <w:tab w:val="left" w:pos="284"/>
          <w:tab w:val="clear" w:pos="720"/>
        </w:tabs>
        <w:spacing w:line="360" w:lineRule="auto"/>
        <w:ind w:left="-2" w:leftChars="-1" w:firstLine="426" w:firstLineChars="177"/>
        <w:rPr>
          <w:rFonts w:hint="eastAsia" w:ascii="宋体" w:hAnsi="宋体" w:eastAsia="宋体"/>
          <w:sz w:val="24"/>
        </w:rPr>
      </w:pPr>
      <w:r>
        <w:rPr>
          <w:rFonts w:ascii="宋体" w:hAnsi="宋体" w:eastAsia="宋体"/>
          <w:b/>
          <w:bCs/>
          <w:sz w:val="24"/>
        </w:rPr>
        <w:t>进度控制</w:t>
      </w:r>
    </w:p>
    <w:p w14:paraId="35F0FBBB">
      <w:pPr>
        <w:numPr>
          <w:ilvl w:val="1"/>
          <w:numId w:val="3"/>
        </w:numPr>
        <w:tabs>
          <w:tab w:val="left" w:pos="567"/>
        </w:tabs>
        <w:spacing w:line="360" w:lineRule="auto"/>
        <w:ind w:left="-2" w:leftChars="-1" w:firstLine="284" w:firstLineChars="118"/>
        <w:rPr>
          <w:rFonts w:hint="eastAsia" w:ascii="宋体" w:hAnsi="宋体" w:eastAsia="宋体"/>
          <w:sz w:val="24"/>
        </w:rPr>
      </w:pPr>
      <w:r>
        <w:rPr>
          <w:rFonts w:ascii="宋体" w:hAnsi="宋体" w:eastAsia="宋体"/>
          <w:b/>
          <w:bCs/>
          <w:sz w:val="24"/>
        </w:rPr>
        <w:t>进度计划审查</w:t>
      </w:r>
      <w:r>
        <w:rPr>
          <w:rFonts w:ascii="宋体" w:hAnsi="宋体" w:eastAsia="宋体"/>
          <w:sz w:val="24"/>
        </w:rPr>
        <w:t>：审核承建单位编制的项目总进度计划和阶段性进度计划，检查计划的合理性、可行性，是否满足合同工期要求，分析关键路径和关键工作，提出优化建议。</w:t>
      </w:r>
    </w:p>
    <w:p w14:paraId="62CB321A">
      <w:pPr>
        <w:numPr>
          <w:ilvl w:val="1"/>
          <w:numId w:val="3"/>
        </w:numPr>
        <w:tabs>
          <w:tab w:val="left" w:pos="284"/>
        </w:tabs>
        <w:spacing w:line="360" w:lineRule="auto"/>
        <w:ind w:left="-2" w:leftChars="-1" w:firstLine="282" w:firstLineChars="117"/>
        <w:rPr>
          <w:rFonts w:hint="eastAsia" w:ascii="宋体" w:hAnsi="宋体" w:eastAsia="宋体"/>
          <w:sz w:val="24"/>
        </w:rPr>
      </w:pPr>
      <w:r>
        <w:rPr>
          <w:rFonts w:ascii="宋体" w:hAnsi="宋体" w:eastAsia="宋体"/>
          <w:b/>
          <w:bCs/>
          <w:sz w:val="24"/>
        </w:rPr>
        <w:t>进度跟踪与协调</w:t>
      </w:r>
      <w:r>
        <w:rPr>
          <w:rFonts w:ascii="宋体" w:hAnsi="宋体" w:eastAsia="宋体"/>
          <w:sz w:val="24"/>
        </w:rPr>
        <w:t>：定期检查项目实际进度情况，与进度计划进行对比分析，及时发现进度偏差。组织召开进度协调会议，协调解决影响进度的各类问题，督促承建单位采取有效措施加快进度，确保项目按计划推进。</w:t>
      </w:r>
    </w:p>
    <w:p w14:paraId="30FDFE2C">
      <w:pPr>
        <w:numPr>
          <w:ilvl w:val="1"/>
          <w:numId w:val="3"/>
        </w:numPr>
        <w:tabs>
          <w:tab w:val="left" w:pos="284"/>
        </w:tabs>
        <w:spacing w:line="360" w:lineRule="auto"/>
        <w:ind w:left="-2" w:leftChars="-1" w:firstLine="282" w:firstLineChars="117"/>
        <w:rPr>
          <w:rFonts w:hint="eastAsia" w:ascii="宋体" w:hAnsi="宋体" w:eastAsia="宋体"/>
          <w:sz w:val="24"/>
        </w:rPr>
      </w:pPr>
      <w:r>
        <w:rPr>
          <w:rFonts w:ascii="宋体" w:hAnsi="宋体" w:eastAsia="宋体"/>
          <w:b/>
          <w:bCs/>
          <w:sz w:val="24"/>
        </w:rPr>
        <w:t>进度调整</w:t>
      </w:r>
      <w:r>
        <w:rPr>
          <w:rFonts w:ascii="宋体" w:hAnsi="宋体" w:eastAsia="宋体"/>
          <w:sz w:val="24"/>
        </w:rPr>
        <w:t>：当实际进度与计划进度出现较大偏差且无法通过常规措施纠正时，协助业主和承建单位分析原因，调整进度计划，并对调整后的计划进行重新评估和审批，监督新计划的执行。</w:t>
      </w:r>
    </w:p>
    <w:p w14:paraId="19826ECD">
      <w:pPr>
        <w:numPr>
          <w:ilvl w:val="0"/>
          <w:numId w:val="3"/>
        </w:numPr>
        <w:tabs>
          <w:tab w:val="clear" w:pos="720"/>
        </w:tabs>
        <w:spacing w:line="360" w:lineRule="auto"/>
        <w:ind w:left="-2" w:leftChars="-1" w:firstLine="284" w:firstLineChars="118"/>
        <w:rPr>
          <w:rFonts w:hint="eastAsia" w:ascii="宋体" w:hAnsi="宋体" w:eastAsia="宋体"/>
          <w:sz w:val="24"/>
        </w:rPr>
      </w:pPr>
      <w:r>
        <w:rPr>
          <w:rFonts w:ascii="宋体" w:hAnsi="宋体" w:eastAsia="宋体"/>
          <w:b/>
          <w:bCs/>
          <w:sz w:val="24"/>
        </w:rPr>
        <w:t>投资控制</w:t>
      </w:r>
    </w:p>
    <w:p w14:paraId="41FD4124">
      <w:pPr>
        <w:numPr>
          <w:ilvl w:val="1"/>
          <w:numId w:val="3"/>
        </w:numPr>
        <w:spacing w:line="360" w:lineRule="auto"/>
        <w:ind w:left="-2" w:leftChars="-1" w:firstLine="282" w:firstLineChars="117"/>
        <w:rPr>
          <w:rFonts w:hint="eastAsia" w:ascii="宋体" w:hAnsi="宋体" w:eastAsia="宋体"/>
          <w:sz w:val="24"/>
        </w:rPr>
      </w:pPr>
      <w:r>
        <w:rPr>
          <w:rFonts w:ascii="宋体" w:hAnsi="宋体" w:eastAsia="宋体"/>
          <w:b/>
          <w:bCs/>
          <w:sz w:val="24"/>
        </w:rPr>
        <w:t>投资计划审查</w:t>
      </w:r>
      <w:r>
        <w:rPr>
          <w:rFonts w:ascii="宋体" w:hAnsi="宋体" w:eastAsia="宋体"/>
          <w:sz w:val="24"/>
        </w:rPr>
        <w:t>：参与项目投资计划的编制和审查，根据项目预算和合同条款，协助业主合理分解投资计划，明确各阶段、各部分的投资控制目标。</w:t>
      </w:r>
    </w:p>
    <w:p w14:paraId="50794B07">
      <w:pPr>
        <w:numPr>
          <w:ilvl w:val="1"/>
          <w:numId w:val="3"/>
        </w:numPr>
        <w:spacing w:line="360" w:lineRule="auto"/>
        <w:ind w:left="-2" w:leftChars="-1" w:firstLine="282" w:firstLineChars="117"/>
        <w:rPr>
          <w:rFonts w:hint="eastAsia" w:ascii="宋体" w:hAnsi="宋体" w:eastAsia="宋体"/>
          <w:sz w:val="24"/>
        </w:rPr>
      </w:pPr>
      <w:r>
        <w:rPr>
          <w:rFonts w:ascii="宋体" w:hAnsi="宋体" w:eastAsia="宋体"/>
          <w:b/>
          <w:bCs/>
          <w:sz w:val="24"/>
        </w:rPr>
        <w:t>工程款支付审核</w:t>
      </w:r>
      <w:r>
        <w:rPr>
          <w:rFonts w:ascii="宋体" w:hAnsi="宋体" w:eastAsia="宋体"/>
          <w:sz w:val="24"/>
        </w:rPr>
        <w:t>：对承建单位提交的工程款支付申请进行严格审核，核对工程量完成情况、工程质量是否合格、是否符合合同约定的支付条件等，防止超付、误付现象发生。</w:t>
      </w:r>
    </w:p>
    <w:p w14:paraId="4A413EF0">
      <w:pPr>
        <w:numPr>
          <w:ilvl w:val="1"/>
          <w:numId w:val="3"/>
        </w:numPr>
        <w:spacing w:line="360" w:lineRule="auto"/>
        <w:ind w:left="-2" w:leftChars="-1" w:firstLine="282" w:firstLineChars="117"/>
        <w:rPr>
          <w:rFonts w:hint="eastAsia" w:ascii="宋体" w:hAnsi="宋体" w:eastAsia="宋体"/>
          <w:sz w:val="24"/>
        </w:rPr>
      </w:pPr>
      <w:r>
        <w:rPr>
          <w:rFonts w:ascii="宋体" w:hAnsi="宋体" w:eastAsia="宋体"/>
          <w:b/>
          <w:bCs/>
          <w:sz w:val="24"/>
        </w:rPr>
        <w:t>费用索赔管理</w:t>
      </w:r>
      <w:r>
        <w:rPr>
          <w:rFonts w:ascii="宋体" w:hAnsi="宋体" w:eastAsia="宋体"/>
          <w:sz w:val="24"/>
        </w:rPr>
        <w:t>：</w:t>
      </w:r>
      <w:r>
        <w:rPr>
          <w:rFonts w:hint="eastAsia" w:ascii="宋体" w:hAnsi="宋体" w:eastAsia="宋体"/>
          <w:sz w:val="24"/>
        </w:rPr>
        <w:t>协助业主</w:t>
      </w:r>
      <w:r>
        <w:rPr>
          <w:rFonts w:ascii="宋体" w:hAnsi="宋体" w:eastAsia="宋体"/>
          <w:sz w:val="24"/>
        </w:rPr>
        <w:t>处理项目实施过程中可能出现的费用索赔事件，认真审查索赔依据、索赔理由和索赔金额，秉持公平、公正原则进行调解和处理。</w:t>
      </w:r>
    </w:p>
    <w:p w14:paraId="2CC2CFC6">
      <w:pPr>
        <w:numPr>
          <w:ilvl w:val="0"/>
          <w:numId w:val="3"/>
        </w:numPr>
        <w:spacing w:line="360" w:lineRule="auto"/>
        <w:ind w:left="-2" w:leftChars="-1" w:firstLine="282" w:firstLineChars="117"/>
        <w:rPr>
          <w:rFonts w:hint="eastAsia" w:ascii="宋体" w:hAnsi="宋体" w:eastAsia="宋体"/>
          <w:sz w:val="24"/>
        </w:rPr>
      </w:pPr>
      <w:r>
        <w:rPr>
          <w:rFonts w:ascii="宋体" w:hAnsi="宋体" w:eastAsia="宋体"/>
          <w:b/>
          <w:bCs/>
          <w:sz w:val="24"/>
        </w:rPr>
        <w:t>变更控制</w:t>
      </w:r>
    </w:p>
    <w:p w14:paraId="49BA8FD8">
      <w:pPr>
        <w:numPr>
          <w:ilvl w:val="1"/>
          <w:numId w:val="3"/>
        </w:numPr>
        <w:spacing w:line="360" w:lineRule="auto"/>
        <w:ind w:left="-2" w:leftChars="-1" w:firstLine="282" w:firstLineChars="117"/>
        <w:rPr>
          <w:rFonts w:hint="eastAsia" w:ascii="宋体" w:hAnsi="宋体" w:eastAsia="宋体"/>
          <w:sz w:val="24"/>
        </w:rPr>
      </w:pPr>
      <w:r>
        <w:rPr>
          <w:rFonts w:ascii="宋体" w:hAnsi="宋体" w:eastAsia="宋体"/>
          <w:b/>
          <w:bCs/>
          <w:sz w:val="24"/>
        </w:rPr>
        <w:t>变更申请受理</w:t>
      </w:r>
      <w:r>
        <w:rPr>
          <w:rFonts w:ascii="宋体" w:hAnsi="宋体" w:eastAsia="宋体"/>
          <w:sz w:val="24"/>
        </w:rPr>
        <w:t>：受理业主、承建单位提出的项目变更申请，对变更的必要性、合理性和可行性进行初步评估，详细记录变更申请内容和相关信息。</w:t>
      </w:r>
    </w:p>
    <w:p w14:paraId="37124D4B">
      <w:pPr>
        <w:numPr>
          <w:ilvl w:val="1"/>
          <w:numId w:val="3"/>
        </w:numPr>
        <w:spacing w:line="360" w:lineRule="auto"/>
        <w:ind w:left="-2" w:leftChars="-1" w:firstLine="282" w:firstLineChars="117"/>
        <w:rPr>
          <w:rFonts w:hint="eastAsia" w:ascii="宋体" w:hAnsi="宋体" w:eastAsia="宋体"/>
          <w:sz w:val="24"/>
        </w:rPr>
      </w:pPr>
      <w:r>
        <w:rPr>
          <w:rFonts w:ascii="宋体" w:hAnsi="宋体" w:eastAsia="宋体"/>
          <w:b/>
          <w:bCs/>
          <w:sz w:val="24"/>
        </w:rPr>
        <w:t>变更影响评估</w:t>
      </w:r>
      <w:r>
        <w:rPr>
          <w:rFonts w:ascii="宋体" w:hAnsi="宋体" w:eastAsia="宋体"/>
          <w:sz w:val="24"/>
        </w:rPr>
        <w:t>：</w:t>
      </w:r>
      <w:r>
        <w:rPr>
          <w:rFonts w:hint="eastAsia" w:ascii="宋体" w:hAnsi="宋体" w:eastAsia="宋体"/>
          <w:sz w:val="24"/>
        </w:rPr>
        <w:t>协助业主</w:t>
      </w:r>
      <w:r>
        <w:rPr>
          <w:rFonts w:ascii="宋体" w:hAnsi="宋体" w:eastAsia="宋体"/>
          <w:sz w:val="24"/>
        </w:rPr>
        <w:t>组织相关专家和各方人员对变更申请进行深入分析，评估变更对项目质量、进度、投资、安全等方面的影响，制定变更评估报告。</w:t>
      </w:r>
    </w:p>
    <w:p w14:paraId="1A677CCA">
      <w:pPr>
        <w:numPr>
          <w:ilvl w:val="1"/>
          <w:numId w:val="3"/>
        </w:numPr>
        <w:spacing w:line="360" w:lineRule="auto"/>
        <w:ind w:left="-2" w:leftChars="-1" w:firstLine="282" w:firstLineChars="117"/>
        <w:rPr>
          <w:rFonts w:hint="eastAsia" w:ascii="宋体" w:hAnsi="宋体" w:eastAsia="宋体"/>
          <w:sz w:val="24"/>
        </w:rPr>
      </w:pPr>
      <w:r>
        <w:rPr>
          <w:rFonts w:ascii="宋体" w:hAnsi="宋体" w:eastAsia="宋体"/>
          <w:b/>
          <w:bCs/>
          <w:sz w:val="24"/>
        </w:rPr>
        <w:t>变更审批与实施监督</w:t>
      </w:r>
      <w:r>
        <w:rPr>
          <w:rFonts w:ascii="宋体" w:hAnsi="宋体" w:eastAsia="宋体"/>
          <w:sz w:val="24"/>
        </w:rPr>
        <w:t>：根据变更评估报告，协助业主按照规定的变更审批流程进行审批。变更获批后，监督承建单位严格按照变更后的方案实施，确保变更内容得到有效落实，同时对变更实施过程中的各项指标进行监控和记录。</w:t>
      </w:r>
    </w:p>
    <w:p w14:paraId="31BB7E97">
      <w:pPr>
        <w:numPr>
          <w:ilvl w:val="0"/>
          <w:numId w:val="3"/>
        </w:numPr>
        <w:spacing w:line="360" w:lineRule="auto"/>
        <w:ind w:left="-2" w:leftChars="-1" w:firstLine="424" w:firstLineChars="176"/>
        <w:rPr>
          <w:rFonts w:hint="eastAsia" w:ascii="宋体" w:hAnsi="宋体" w:eastAsia="宋体"/>
          <w:sz w:val="24"/>
        </w:rPr>
      </w:pPr>
      <w:r>
        <w:rPr>
          <w:rFonts w:ascii="宋体" w:hAnsi="宋体" w:eastAsia="宋体"/>
          <w:b/>
          <w:bCs/>
          <w:sz w:val="24"/>
        </w:rPr>
        <w:t>合同管理</w:t>
      </w:r>
    </w:p>
    <w:p w14:paraId="6470CEF8">
      <w:pPr>
        <w:numPr>
          <w:ilvl w:val="1"/>
          <w:numId w:val="3"/>
        </w:numPr>
        <w:tabs>
          <w:tab w:val="left" w:pos="142"/>
        </w:tabs>
        <w:spacing w:line="360" w:lineRule="auto"/>
        <w:ind w:left="-2" w:leftChars="-1" w:firstLine="426" w:firstLineChars="177"/>
        <w:rPr>
          <w:rFonts w:hint="eastAsia" w:ascii="宋体" w:hAnsi="宋体" w:eastAsia="宋体"/>
          <w:sz w:val="24"/>
        </w:rPr>
      </w:pPr>
      <w:r>
        <w:rPr>
          <w:rFonts w:ascii="宋体" w:hAnsi="宋体" w:eastAsia="宋体"/>
          <w:b/>
          <w:bCs/>
          <w:sz w:val="24"/>
        </w:rPr>
        <w:t>合同执行监督</w:t>
      </w:r>
      <w:r>
        <w:rPr>
          <w:rFonts w:ascii="宋体" w:hAnsi="宋体" w:eastAsia="宋体"/>
          <w:sz w:val="24"/>
        </w:rPr>
        <w:t>：定期检查合同执行情况，监督业主和承建单位严格履行合同义务，及时发现并纠正合同执行过程中的违约行为。</w:t>
      </w:r>
    </w:p>
    <w:p w14:paraId="5047758A">
      <w:pPr>
        <w:numPr>
          <w:ilvl w:val="1"/>
          <w:numId w:val="3"/>
        </w:numPr>
        <w:tabs>
          <w:tab w:val="left" w:pos="142"/>
        </w:tabs>
        <w:spacing w:line="360" w:lineRule="auto"/>
        <w:ind w:left="-2" w:leftChars="-1" w:firstLine="426" w:firstLineChars="177"/>
        <w:rPr>
          <w:rFonts w:hint="eastAsia" w:ascii="宋体" w:hAnsi="宋体" w:eastAsia="宋体"/>
          <w:sz w:val="24"/>
        </w:rPr>
      </w:pPr>
      <w:r>
        <w:rPr>
          <w:rFonts w:ascii="宋体" w:hAnsi="宋体" w:eastAsia="宋体"/>
          <w:b/>
          <w:bCs/>
          <w:sz w:val="24"/>
        </w:rPr>
        <w:t>合同纠纷处理</w:t>
      </w:r>
      <w:r>
        <w:rPr>
          <w:rFonts w:ascii="宋体" w:hAnsi="宋体" w:eastAsia="宋体"/>
          <w:sz w:val="24"/>
        </w:rPr>
        <w:t>：当合同双方发生纠纷时，监理单位应积极协调，依据合同条款和相关法律法规，提出合理的解决方案，协助双方通过协商、调解等方式解决纠纷。如纠纷无法协商解决，协助业主做好诉讼或仲裁的相关准备工作。</w:t>
      </w:r>
    </w:p>
    <w:p w14:paraId="148898B0">
      <w:pPr>
        <w:numPr>
          <w:ilvl w:val="0"/>
          <w:numId w:val="3"/>
        </w:numPr>
        <w:tabs>
          <w:tab w:val="left" w:pos="284"/>
          <w:tab w:val="clear" w:pos="720"/>
        </w:tabs>
        <w:spacing w:line="360" w:lineRule="auto"/>
        <w:ind w:left="-2" w:leftChars="-1" w:firstLine="0" w:firstLineChars="0"/>
        <w:rPr>
          <w:rFonts w:hint="eastAsia" w:ascii="宋体" w:hAnsi="宋体" w:eastAsia="宋体"/>
          <w:sz w:val="24"/>
        </w:rPr>
      </w:pPr>
      <w:r>
        <w:rPr>
          <w:rFonts w:ascii="宋体" w:hAnsi="宋体" w:eastAsia="宋体"/>
          <w:b/>
          <w:bCs/>
          <w:sz w:val="24"/>
        </w:rPr>
        <w:t>信息安全管理</w:t>
      </w:r>
    </w:p>
    <w:p w14:paraId="658C5039">
      <w:pPr>
        <w:numPr>
          <w:ilvl w:val="1"/>
          <w:numId w:val="3"/>
        </w:numPr>
        <w:spacing w:line="360" w:lineRule="auto"/>
        <w:ind w:left="-2" w:leftChars="-1" w:firstLine="426" w:firstLineChars="177"/>
        <w:rPr>
          <w:rFonts w:hint="eastAsia" w:ascii="宋体" w:hAnsi="宋体" w:eastAsia="宋体"/>
          <w:sz w:val="24"/>
        </w:rPr>
      </w:pPr>
      <w:r>
        <w:rPr>
          <w:rFonts w:ascii="宋体" w:hAnsi="宋体" w:eastAsia="宋体"/>
          <w:b/>
          <w:bCs/>
          <w:sz w:val="24"/>
        </w:rPr>
        <w:t>安全方案审查</w:t>
      </w:r>
      <w:r>
        <w:rPr>
          <w:rFonts w:ascii="宋体" w:hAnsi="宋体" w:eastAsia="宋体"/>
          <w:sz w:val="24"/>
        </w:rPr>
        <w:t>：审查承建单位制定的信息安全保障方案，包括网络安全、数据安全、应用安全等方面的措施，评估方案是否符合国家信息安全相关标准和行业规范，是否满足项目实际安全需求。</w:t>
      </w:r>
    </w:p>
    <w:p w14:paraId="741EE7F0">
      <w:pPr>
        <w:numPr>
          <w:ilvl w:val="1"/>
          <w:numId w:val="3"/>
        </w:numPr>
        <w:spacing w:line="360" w:lineRule="auto"/>
        <w:ind w:left="-2" w:leftChars="-1" w:firstLine="426" w:firstLineChars="177"/>
        <w:rPr>
          <w:rFonts w:hint="eastAsia" w:ascii="宋体" w:hAnsi="宋体" w:eastAsia="宋体"/>
          <w:sz w:val="24"/>
        </w:rPr>
      </w:pPr>
      <w:r>
        <w:rPr>
          <w:rFonts w:hint="eastAsia" w:ascii="宋体" w:hAnsi="宋体" w:eastAsia="宋体"/>
          <w:b/>
          <w:bCs/>
          <w:sz w:val="24"/>
        </w:rPr>
        <w:t>安全建设管理：</w:t>
      </w:r>
      <w:r>
        <w:rPr>
          <w:rFonts w:hint="eastAsia" w:ascii="宋体" w:hAnsi="宋体" w:eastAsia="宋体"/>
          <w:sz w:val="24"/>
        </w:rPr>
        <w:t>根据国家网络安全法要求，项目网络安全需要满足公安机关的信息安全等级保护要求，为加强项目建设过程的网络安全等级保护工作，确保系统建成后通过网络安全等级保护测评，监理单位应督促承建方按照《信息安全技术 网络安全等级保护基本要求》（GB/T GBT 22239-2019）开展安全建设。</w:t>
      </w:r>
    </w:p>
    <w:p w14:paraId="3B661BFA">
      <w:pPr>
        <w:numPr>
          <w:ilvl w:val="1"/>
          <w:numId w:val="3"/>
        </w:numPr>
        <w:spacing w:line="360" w:lineRule="auto"/>
        <w:ind w:left="-2" w:leftChars="-1" w:firstLine="426" w:firstLineChars="177"/>
        <w:rPr>
          <w:rFonts w:hint="eastAsia" w:ascii="宋体" w:hAnsi="宋体" w:eastAsia="宋体"/>
          <w:sz w:val="24"/>
        </w:rPr>
      </w:pPr>
      <w:r>
        <w:rPr>
          <w:rFonts w:ascii="宋体" w:hAnsi="宋体" w:eastAsia="宋体"/>
          <w:b/>
          <w:bCs/>
          <w:sz w:val="24"/>
        </w:rPr>
        <w:t>安全措施落实监督</w:t>
      </w:r>
      <w:r>
        <w:rPr>
          <w:rFonts w:ascii="宋体" w:hAnsi="宋体" w:eastAsia="宋体"/>
          <w:sz w:val="24"/>
        </w:rPr>
        <w:t>：监督承建单位按照安全方案落实各项安全措施，定期对信息系统的安全状况进行检查和评估，及时发现并整改安全隐患。</w:t>
      </w:r>
    </w:p>
    <w:p w14:paraId="745B5D70">
      <w:pPr>
        <w:numPr>
          <w:ilvl w:val="1"/>
          <w:numId w:val="3"/>
        </w:numPr>
        <w:spacing w:line="360" w:lineRule="auto"/>
        <w:ind w:left="-2" w:leftChars="-1" w:firstLine="426" w:firstLineChars="177"/>
        <w:rPr>
          <w:rFonts w:hint="eastAsia" w:ascii="宋体" w:hAnsi="宋体" w:eastAsia="宋体"/>
          <w:sz w:val="24"/>
        </w:rPr>
      </w:pPr>
      <w:r>
        <w:rPr>
          <w:rFonts w:ascii="宋体" w:hAnsi="宋体" w:eastAsia="宋体"/>
          <w:b/>
          <w:bCs/>
          <w:sz w:val="24"/>
        </w:rPr>
        <w:t>安全事件应急处理</w:t>
      </w:r>
      <w:r>
        <w:rPr>
          <w:rFonts w:ascii="宋体" w:hAnsi="宋体" w:eastAsia="宋体"/>
          <w:sz w:val="24"/>
        </w:rPr>
        <w:t>：协助业主制定信息安全事件应急预案，当发生安全事件时，及时响应，协助业主和承建单位进行应急处理，采取有效措施降低损失，调查安全事件原因，提出防范措施和整改建议。</w:t>
      </w:r>
    </w:p>
    <w:p w14:paraId="76C14C2B">
      <w:pPr>
        <w:numPr>
          <w:ilvl w:val="0"/>
          <w:numId w:val="3"/>
        </w:numPr>
        <w:spacing w:line="360" w:lineRule="auto"/>
        <w:ind w:left="-2" w:leftChars="-1" w:firstLine="569" w:firstLineChars="236"/>
        <w:rPr>
          <w:rFonts w:hint="eastAsia" w:ascii="宋体" w:hAnsi="宋体" w:eastAsia="宋体"/>
          <w:sz w:val="24"/>
        </w:rPr>
      </w:pPr>
      <w:r>
        <w:rPr>
          <w:rFonts w:ascii="宋体" w:hAnsi="宋体" w:eastAsia="宋体"/>
          <w:b/>
          <w:bCs/>
          <w:sz w:val="24"/>
        </w:rPr>
        <w:t>文档管理</w:t>
      </w:r>
    </w:p>
    <w:p w14:paraId="7DEFDB1C">
      <w:pPr>
        <w:numPr>
          <w:ilvl w:val="1"/>
          <w:numId w:val="3"/>
        </w:numPr>
        <w:spacing w:line="360" w:lineRule="auto"/>
        <w:ind w:left="-2" w:leftChars="-1" w:firstLine="426" w:firstLineChars="177"/>
        <w:rPr>
          <w:rFonts w:hint="eastAsia" w:ascii="宋体" w:hAnsi="宋体" w:eastAsia="宋体"/>
          <w:sz w:val="24"/>
        </w:rPr>
      </w:pPr>
      <w:r>
        <w:rPr>
          <w:rFonts w:ascii="宋体" w:hAnsi="宋体" w:eastAsia="宋体"/>
          <w:b/>
          <w:bCs/>
          <w:sz w:val="24"/>
        </w:rPr>
        <w:t>文档体系建立</w:t>
      </w:r>
      <w:r>
        <w:rPr>
          <w:rFonts w:ascii="宋体" w:hAnsi="宋体" w:eastAsia="宋体"/>
          <w:sz w:val="24"/>
        </w:rPr>
        <w:t>：协助业主建立完善的项目文档管理体系，明确文档分类、编号、归档、保管、借阅等流程和要求，确保项目文档管理工作规范化、标准化。</w:t>
      </w:r>
    </w:p>
    <w:p w14:paraId="352B1B37">
      <w:pPr>
        <w:numPr>
          <w:ilvl w:val="1"/>
          <w:numId w:val="3"/>
        </w:numPr>
        <w:spacing w:line="360" w:lineRule="auto"/>
        <w:ind w:left="-2" w:leftChars="-1" w:firstLine="426" w:firstLineChars="177"/>
        <w:rPr>
          <w:rFonts w:hint="eastAsia" w:ascii="宋体" w:hAnsi="宋体" w:eastAsia="宋体"/>
          <w:sz w:val="24"/>
        </w:rPr>
      </w:pPr>
      <w:r>
        <w:rPr>
          <w:rFonts w:ascii="宋体" w:hAnsi="宋体" w:eastAsia="宋体"/>
          <w:b/>
          <w:bCs/>
          <w:sz w:val="24"/>
        </w:rPr>
        <w:t>文档收集与审查</w:t>
      </w:r>
      <w:r>
        <w:rPr>
          <w:rFonts w:ascii="宋体" w:hAnsi="宋体" w:eastAsia="宋体"/>
          <w:sz w:val="24"/>
        </w:rPr>
        <w:t>：督促承建单位及时提交项目实施过程中的各类文档，如需求规格说明书、设计文档、测试报告、施工日志等，对文档的完整性、准确性、规范性进行审查，不符合要求的文档要求承建单位及时补充和修改。</w:t>
      </w:r>
    </w:p>
    <w:p w14:paraId="797D1BBC">
      <w:pPr>
        <w:numPr>
          <w:ilvl w:val="0"/>
          <w:numId w:val="3"/>
        </w:numPr>
        <w:spacing w:line="360" w:lineRule="auto"/>
        <w:ind w:left="-2" w:leftChars="-1" w:firstLine="569" w:firstLineChars="236"/>
        <w:rPr>
          <w:rFonts w:hint="eastAsia" w:ascii="宋体" w:hAnsi="宋体" w:eastAsia="宋体"/>
          <w:sz w:val="24"/>
        </w:rPr>
      </w:pPr>
      <w:r>
        <w:rPr>
          <w:rFonts w:ascii="宋体" w:hAnsi="宋体" w:eastAsia="宋体"/>
          <w:b/>
          <w:bCs/>
          <w:sz w:val="24"/>
        </w:rPr>
        <w:t>协调措施</w:t>
      </w:r>
    </w:p>
    <w:p w14:paraId="0A0F360B">
      <w:pPr>
        <w:numPr>
          <w:ilvl w:val="1"/>
          <w:numId w:val="3"/>
        </w:numPr>
        <w:spacing w:line="360" w:lineRule="auto"/>
        <w:ind w:left="-2" w:leftChars="-1" w:firstLine="426" w:firstLineChars="177"/>
        <w:rPr>
          <w:rFonts w:hint="eastAsia" w:ascii="宋体" w:hAnsi="宋体" w:eastAsia="宋体"/>
          <w:sz w:val="24"/>
        </w:rPr>
      </w:pPr>
      <w:r>
        <w:rPr>
          <w:rFonts w:ascii="宋体" w:hAnsi="宋体" w:eastAsia="宋体"/>
          <w:b/>
          <w:bCs/>
          <w:sz w:val="24"/>
        </w:rPr>
        <w:t>组织协调会议</w:t>
      </w:r>
      <w:r>
        <w:rPr>
          <w:rFonts w:ascii="宋体" w:hAnsi="宋体" w:eastAsia="宋体"/>
          <w:sz w:val="24"/>
        </w:rPr>
        <w:t>：定期组织召开项目协调会议，如周例会、月例会等，通报项目进展情况，协调解决项目实施过程中出现的问题和矛盾，加强业主、承建单位等各方之间的沟通与协作。</w:t>
      </w:r>
    </w:p>
    <w:p w14:paraId="03DBCCE6">
      <w:pPr>
        <w:numPr>
          <w:ilvl w:val="1"/>
          <w:numId w:val="3"/>
        </w:numPr>
        <w:spacing w:line="360" w:lineRule="auto"/>
        <w:ind w:left="-2" w:leftChars="-1" w:firstLine="426" w:firstLineChars="177"/>
        <w:rPr>
          <w:rFonts w:hint="eastAsia" w:ascii="宋体" w:hAnsi="宋体" w:eastAsia="宋体"/>
          <w:sz w:val="24"/>
        </w:rPr>
      </w:pPr>
      <w:r>
        <w:rPr>
          <w:rFonts w:ascii="宋体" w:hAnsi="宋体" w:eastAsia="宋体"/>
          <w:b/>
          <w:bCs/>
          <w:sz w:val="24"/>
        </w:rPr>
        <w:t>沟通协调机制建立</w:t>
      </w:r>
      <w:r>
        <w:rPr>
          <w:rFonts w:ascii="宋体" w:hAnsi="宋体" w:eastAsia="宋体"/>
          <w:sz w:val="24"/>
        </w:rPr>
        <w:t>：建立健全沟通协调机制，明确各方的沟通渠道、方式和责任人，确保信息及时、准确传递。针对项目中的重大问题和紧急事项，及时进行专项沟通和协调，避免因沟通不畅导致项目延误或出现其他问题。</w:t>
      </w:r>
    </w:p>
    <w:p w14:paraId="39910317">
      <w:pPr>
        <w:widowControl w:val="0"/>
        <w:numPr>
          <w:ilvl w:val="0"/>
          <w:numId w:val="0"/>
        </w:numPr>
        <w:spacing w:line="360" w:lineRule="auto"/>
        <w:ind w:left="278" w:firstLine="482" w:firstLineChars="200"/>
        <w:jc w:val="both"/>
        <w:outlineLvl w:val="2"/>
        <w:rPr>
          <w:rFonts w:hint="eastAsia" w:ascii="宋体" w:hAnsi="宋体" w:eastAsia="宋体" w:cstheme="minorBidi"/>
          <w:b/>
          <w:bCs/>
          <w:kern w:val="2"/>
          <w:sz w:val="24"/>
          <w:szCs w:val="24"/>
          <w:lang w:val="en-US" w:eastAsia="zh-CN" w:bidi="ar-SA"/>
        </w:rPr>
      </w:pPr>
      <w:r>
        <w:rPr>
          <w:rFonts w:ascii="宋体" w:hAnsi="宋体" w:eastAsia="宋体" w:cstheme="minorBidi"/>
          <w:b/>
          <w:bCs/>
          <w:kern w:val="2"/>
          <w:sz w:val="24"/>
          <w:szCs w:val="24"/>
          <w:lang w:val="en-US" w:eastAsia="zh-CN" w:bidi="ar-SA"/>
        </w:rPr>
        <w:t>（三）试运行阶段</w:t>
      </w:r>
    </w:p>
    <w:p w14:paraId="682C77E2">
      <w:pPr>
        <w:numPr>
          <w:ilvl w:val="0"/>
          <w:numId w:val="4"/>
        </w:numPr>
        <w:spacing w:line="360" w:lineRule="auto"/>
        <w:ind w:left="0" w:firstLine="566" w:firstLineChars="236"/>
        <w:rPr>
          <w:rFonts w:hint="eastAsia" w:ascii="宋体" w:hAnsi="宋体" w:eastAsia="宋体"/>
          <w:sz w:val="24"/>
        </w:rPr>
      </w:pPr>
      <w:r>
        <w:rPr>
          <w:rFonts w:ascii="宋体" w:hAnsi="宋体" w:eastAsia="宋体"/>
          <w:sz w:val="24"/>
        </w:rPr>
        <w:t>基础</w:t>
      </w:r>
      <w:r>
        <w:rPr>
          <w:rFonts w:ascii="宋体" w:hAnsi="宋体" w:eastAsia="宋体"/>
          <w:b/>
          <w:bCs/>
          <w:sz w:val="24"/>
        </w:rPr>
        <w:t>试运行方案审查</w:t>
      </w:r>
      <w:r>
        <w:rPr>
          <w:rFonts w:ascii="宋体" w:hAnsi="宋体" w:eastAsia="宋体"/>
          <w:sz w:val="24"/>
        </w:rPr>
        <w:t>：对承建单位提交的试运行方案进行审查，包括试运行目标、范围、时间安排、测试内容、人员安排、应急措施等，确保试运行方案科学合理、切实可行。</w:t>
      </w:r>
    </w:p>
    <w:p w14:paraId="7798DB90">
      <w:pPr>
        <w:numPr>
          <w:ilvl w:val="0"/>
          <w:numId w:val="4"/>
        </w:numPr>
        <w:spacing w:line="360" w:lineRule="auto"/>
        <w:ind w:left="1" w:firstLine="569" w:firstLineChars="236"/>
        <w:rPr>
          <w:rFonts w:hint="eastAsia" w:ascii="宋体" w:hAnsi="宋体" w:eastAsia="宋体"/>
          <w:sz w:val="24"/>
        </w:rPr>
      </w:pPr>
      <w:r>
        <w:rPr>
          <w:rFonts w:ascii="宋体" w:hAnsi="宋体" w:eastAsia="宋体"/>
          <w:b/>
          <w:bCs/>
          <w:sz w:val="24"/>
        </w:rPr>
        <w:t>试运行监督</w:t>
      </w:r>
      <w:r>
        <w:rPr>
          <w:rFonts w:ascii="宋体" w:hAnsi="宋体" w:eastAsia="宋体"/>
          <w:sz w:val="24"/>
        </w:rPr>
        <w:t>：在试运行期间，全程监督信息系统的运行情况，检查系统是否稳定可靠，各项功能是否满足设计要求和业务需求。督促承建单位做好试运行记录，及时发现并解决试运行过程中出现的问题。</w:t>
      </w:r>
    </w:p>
    <w:p w14:paraId="6D287B39">
      <w:pPr>
        <w:numPr>
          <w:ilvl w:val="0"/>
          <w:numId w:val="4"/>
        </w:numPr>
        <w:spacing w:line="360" w:lineRule="auto"/>
        <w:ind w:left="1" w:firstLine="569" w:firstLineChars="236"/>
        <w:rPr>
          <w:rFonts w:hint="eastAsia" w:ascii="宋体" w:hAnsi="宋体" w:eastAsia="宋体"/>
          <w:sz w:val="24"/>
        </w:rPr>
      </w:pPr>
      <w:r>
        <w:rPr>
          <w:rFonts w:ascii="宋体" w:hAnsi="宋体" w:eastAsia="宋体"/>
          <w:b/>
          <w:bCs/>
          <w:sz w:val="24"/>
        </w:rPr>
        <w:t>问题整改跟踪</w:t>
      </w:r>
      <w:r>
        <w:rPr>
          <w:rFonts w:ascii="宋体" w:hAnsi="宋体" w:eastAsia="宋体"/>
          <w:sz w:val="24"/>
        </w:rPr>
        <w:t>：对试运行期间发现的问题，要求承建单位制定详细的整改计划，明确整改责任人、整改时间和整改措施。跟踪整改情况，对整改结果进行验证，确保问题得到彻底解决，为项目正式验收奠定。</w:t>
      </w:r>
    </w:p>
    <w:p w14:paraId="7ECEB97D">
      <w:pPr>
        <w:widowControl w:val="0"/>
        <w:numPr>
          <w:ilvl w:val="0"/>
          <w:numId w:val="0"/>
        </w:numPr>
        <w:spacing w:line="360" w:lineRule="auto"/>
        <w:ind w:left="278" w:firstLine="482" w:firstLineChars="200"/>
        <w:jc w:val="both"/>
        <w:outlineLvl w:val="2"/>
        <w:rPr>
          <w:rFonts w:hint="eastAsia" w:ascii="宋体" w:hAnsi="宋体" w:eastAsia="宋体" w:cstheme="minorBidi"/>
          <w:b/>
          <w:bCs/>
          <w:kern w:val="2"/>
          <w:sz w:val="24"/>
          <w:szCs w:val="24"/>
          <w:lang w:val="en-US" w:eastAsia="zh-CN" w:bidi="ar-SA"/>
        </w:rPr>
      </w:pPr>
      <w:r>
        <w:rPr>
          <w:rFonts w:ascii="宋体" w:hAnsi="宋体" w:eastAsia="宋体" w:cstheme="minorBidi"/>
          <w:b/>
          <w:bCs/>
          <w:kern w:val="2"/>
          <w:sz w:val="24"/>
          <w:szCs w:val="24"/>
          <w:lang w:val="en-US" w:eastAsia="zh-CN" w:bidi="ar-SA"/>
        </w:rPr>
        <w:t>（四）验收阶段</w:t>
      </w:r>
    </w:p>
    <w:p w14:paraId="6421C458">
      <w:pPr>
        <w:numPr>
          <w:ilvl w:val="0"/>
          <w:numId w:val="5"/>
        </w:numPr>
        <w:spacing w:line="360" w:lineRule="auto"/>
        <w:ind w:left="-2" w:leftChars="-1" w:firstLine="566" w:firstLineChars="235"/>
        <w:rPr>
          <w:rFonts w:hint="eastAsia" w:ascii="宋体" w:hAnsi="宋体" w:eastAsia="宋体"/>
          <w:sz w:val="24"/>
        </w:rPr>
      </w:pPr>
      <w:r>
        <w:rPr>
          <w:rFonts w:ascii="宋体" w:hAnsi="宋体" w:eastAsia="宋体"/>
          <w:b/>
          <w:bCs/>
          <w:sz w:val="24"/>
        </w:rPr>
        <w:t>验收准备协助</w:t>
      </w:r>
      <w:r>
        <w:rPr>
          <w:rFonts w:ascii="宋体" w:hAnsi="宋体" w:eastAsia="宋体"/>
          <w:sz w:val="24"/>
        </w:rPr>
        <w:t>：协助业主制定项目验收方案，明确验收标准、验收内容、验收方法和验收流程。督促承建单位完成项目收尾工作，整理提交完整的验收资料，包括项目建设总结报告、技术文档、测试报告、培训资料等。</w:t>
      </w:r>
    </w:p>
    <w:p w14:paraId="60E6C619">
      <w:pPr>
        <w:numPr>
          <w:ilvl w:val="0"/>
          <w:numId w:val="5"/>
        </w:numPr>
        <w:spacing w:line="360" w:lineRule="auto"/>
        <w:ind w:left="-2" w:leftChars="-1" w:firstLine="566" w:firstLineChars="235"/>
        <w:rPr>
          <w:rFonts w:hint="eastAsia" w:ascii="宋体" w:hAnsi="宋体" w:eastAsia="宋体"/>
          <w:sz w:val="24"/>
        </w:rPr>
      </w:pPr>
      <w:r>
        <w:rPr>
          <w:rFonts w:ascii="宋体" w:hAnsi="宋体" w:eastAsia="宋体"/>
          <w:b/>
          <w:bCs/>
          <w:sz w:val="24"/>
        </w:rPr>
        <w:t>初步验收</w:t>
      </w:r>
      <w:r>
        <w:rPr>
          <w:rFonts w:ascii="宋体" w:hAnsi="宋体" w:eastAsia="宋体"/>
          <w:sz w:val="24"/>
        </w:rPr>
        <w:t>：组织初步验收工作，对项目的完成情况、质量状况、文档资料等进行全面检查和评估。针对初步验收中发现的问题，要求承建单位限期整改，整改完成后进行复查，确保项目达到初步验收要求。</w:t>
      </w:r>
    </w:p>
    <w:p w14:paraId="6700A5D4">
      <w:pPr>
        <w:numPr>
          <w:ilvl w:val="0"/>
          <w:numId w:val="5"/>
        </w:numPr>
        <w:spacing w:line="360" w:lineRule="auto"/>
        <w:ind w:left="-2" w:leftChars="-1" w:firstLine="566" w:firstLineChars="235"/>
        <w:rPr>
          <w:rFonts w:hint="eastAsia" w:ascii="宋体" w:hAnsi="宋体" w:eastAsia="宋体"/>
          <w:sz w:val="24"/>
        </w:rPr>
      </w:pPr>
      <w:r>
        <w:rPr>
          <w:rFonts w:hint="eastAsia" w:ascii="宋体" w:hAnsi="宋体" w:eastAsia="宋体"/>
          <w:b/>
          <w:bCs/>
          <w:sz w:val="24"/>
        </w:rPr>
        <w:t>最终</w:t>
      </w:r>
      <w:r>
        <w:rPr>
          <w:rFonts w:ascii="宋体" w:hAnsi="宋体" w:eastAsia="宋体"/>
          <w:b/>
          <w:bCs/>
          <w:sz w:val="24"/>
        </w:rPr>
        <w:t>验收</w:t>
      </w:r>
      <w:r>
        <w:rPr>
          <w:rFonts w:ascii="宋体" w:hAnsi="宋体" w:eastAsia="宋体"/>
          <w:sz w:val="24"/>
        </w:rPr>
        <w:t>：在初步验收合格且试运行期满后，协助业主组织</w:t>
      </w:r>
      <w:r>
        <w:rPr>
          <w:rFonts w:hint="eastAsia" w:ascii="宋体" w:hAnsi="宋体" w:eastAsia="宋体"/>
          <w:sz w:val="24"/>
        </w:rPr>
        <w:t>最终</w:t>
      </w:r>
      <w:r>
        <w:rPr>
          <w:rFonts w:ascii="宋体" w:hAnsi="宋体" w:eastAsia="宋体"/>
          <w:sz w:val="24"/>
        </w:rPr>
        <w:t>验收。</w:t>
      </w:r>
      <w:r>
        <w:rPr>
          <w:rFonts w:hint="eastAsia" w:ascii="宋体" w:hAnsi="宋体" w:eastAsia="宋体"/>
          <w:sz w:val="24"/>
        </w:rPr>
        <w:t>协助业主</w:t>
      </w:r>
      <w:r>
        <w:rPr>
          <w:rFonts w:ascii="宋体" w:hAnsi="宋体" w:eastAsia="宋体"/>
          <w:sz w:val="24"/>
        </w:rPr>
        <w:t>邀请相关专家组成验收专家组，按照验收方案对项目进行全面验收。验收过程中，认真听取各方意见，对项目进行客观评价，出具验收报告。对验收不合格的项目，提出整改意见，要求承建单位继续整改，直至项目通过验收。</w:t>
      </w:r>
    </w:p>
    <w:p w14:paraId="374D7C49">
      <w:pPr>
        <w:widowControl/>
        <w:numPr>
          <w:ilvl w:val="0"/>
          <w:numId w:val="0"/>
        </w:numPr>
        <w:spacing w:line="360" w:lineRule="auto"/>
        <w:ind w:left="278" w:firstLine="602" w:firstLineChars="200"/>
        <w:jc w:val="both"/>
        <w:outlineLvl w:val="2"/>
        <w:rPr>
          <w:rFonts w:eastAsia="宋体" w:asciiTheme="minorHAnsi" w:hAnsiTheme="minorHAnsi" w:cstheme="minorBidi"/>
          <w:b/>
          <w:kern w:val="2"/>
          <w:sz w:val="30"/>
          <w:szCs w:val="24"/>
          <w:lang w:val="en-US" w:eastAsia="zh-CN" w:bidi="ar-SA"/>
        </w:rPr>
      </w:pPr>
      <w:bookmarkStart w:id="5" w:name="_Toc1322"/>
      <w:r>
        <w:rPr>
          <w:rFonts w:hint="eastAsia" w:eastAsia="宋体" w:asciiTheme="minorHAnsi" w:hAnsiTheme="minorHAnsi" w:cstheme="minorBidi"/>
          <w:b/>
          <w:kern w:val="2"/>
          <w:sz w:val="30"/>
          <w:szCs w:val="24"/>
          <w:lang w:val="en-US" w:eastAsia="zh-CN" w:bidi="ar-SA"/>
        </w:rPr>
        <w:t>2</w:t>
      </w:r>
      <w:r>
        <w:rPr>
          <w:rFonts w:eastAsia="宋体" w:asciiTheme="minorHAnsi" w:hAnsiTheme="minorHAnsi" w:cstheme="minorBidi"/>
          <w:b/>
          <w:kern w:val="2"/>
          <w:sz w:val="30"/>
          <w:szCs w:val="24"/>
          <w:lang w:val="en-US" w:eastAsia="zh-CN" w:bidi="ar-SA"/>
        </w:rPr>
        <w:t>.</w:t>
      </w:r>
      <w:r>
        <w:rPr>
          <w:rFonts w:hint="eastAsia" w:eastAsia="宋体" w:asciiTheme="minorHAnsi" w:hAnsiTheme="minorHAnsi" w:cstheme="minorBidi"/>
          <w:b/>
          <w:kern w:val="2"/>
          <w:sz w:val="30"/>
          <w:szCs w:val="24"/>
          <w:lang w:val="en-US" w:eastAsia="zh-CN" w:bidi="ar-SA"/>
        </w:rPr>
        <w:t>2</w:t>
      </w:r>
      <w:r>
        <w:rPr>
          <w:rFonts w:eastAsia="宋体" w:asciiTheme="minorHAnsi" w:hAnsiTheme="minorHAnsi" w:cstheme="minorBidi"/>
          <w:b/>
          <w:kern w:val="2"/>
          <w:sz w:val="30"/>
          <w:szCs w:val="24"/>
          <w:lang w:val="en-US" w:eastAsia="zh-CN" w:bidi="ar-SA"/>
        </w:rPr>
        <w:t>.2 监理</w:t>
      </w:r>
      <w:bookmarkEnd w:id="5"/>
      <w:r>
        <w:rPr>
          <w:rFonts w:hint="eastAsia" w:eastAsia="宋体" w:asciiTheme="minorHAnsi" w:hAnsiTheme="minorHAnsi" w:cstheme="minorBidi"/>
          <w:b/>
          <w:kern w:val="2"/>
          <w:sz w:val="30"/>
          <w:szCs w:val="24"/>
          <w:lang w:val="en-US" w:eastAsia="zh-CN" w:bidi="ar-SA"/>
        </w:rPr>
        <w:t>服务成果要求</w:t>
      </w:r>
    </w:p>
    <w:p w14:paraId="4C06205D">
      <w:pPr>
        <w:pStyle w:val="5"/>
        <w:spacing w:after="0" w:line="360" w:lineRule="auto"/>
        <w:ind w:left="0" w:leftChars="0" w:firstLine="480"/>
      </w:pPr>
      <w:r>
        <w:rPr>
          <w:rFonts w:hint="eastAsia" w:ascii="宋体" w:hAnsi="宋体" w:cstheme="minorBidi"/>
        </w:rPr>
        <w:t>监理主要产出成果物（根据项目实际情况产生）：开工令、项目款支付证书、监理周报或监理月报、各类会议纪要、实施文档类监理审核意见、项目备忘录、监理记录、专项监理报告、阶段性项目总结、项目监理工作总结报告等。以纸质文档形式提交，一式三份。</w:t>
      </w:r>
    </w:p>
    <w:p w14:paraId="727630FE">
      <w:pPr>
        <w:keepNext/>
        <w:keepLines/>
        <w:widowControl w:val="0"/>
        <w:numPr>
          <w:ilvl w:val="0"/>
          <w:numId w:val="1"/>
        </w:numPr>
        <w:spacing w:before="340" w:after="330" w:line="576" w:lineRule="auto"/>
        <w:ind w:firstLine="883" w:firstLineChars="0"/>
        <w:jc w:val="both"/>
        <w:outlineLvl w:val="0"/>
        <w:rPr>
          <w:rFonts w:eastAsia="宋体" w:asciiTheme="minorHAnsi" w:hAnsiTheme="minorHAnsi" w:cstheme="minorBidi"/>
          <w:b/>
          <w:kern w:val="44"/>
          <w:sz w:val="32"/>
          <w:szCs w:val="32"/>
          <w:lang w:val="en-US" w:eastAsia="zh-CN" w:bidi="ar-SA"/>
        </w:rPr>
      </w:pPr>
      <w:r>
        <w:rPr>
          <w:rFonts w:hint="eastAsia" w:eastAsia="宋体" w:asciiTheme="minorHAnsi" w:hAnsiTheme="minorHAnsi" w:cstheme="minorBidi"/>
          <w:b/>
          <w:kern w:val="44"/>
          <w:sz w:val="32"/>
          <w:szCs w:val="32"/>
          <w:lang w:val="en-US" w:eastAsia="zh-CN" w:bidi="ar-SA"/>
        </w:rPr>
        <w:t>团队成员要求</w:t>
      </w:r>
    </w:p>
    <w:p w14:paraId="25482680">
      <w:pPr>
        <w:tabs>
          <w:tab w:val="left" w:pos="722"/>
        </w:tabs>
        <w:bidi w:val="0"/>
        <w:ind w:firstLine="480" w:firstLineChars="200"/>
        <w:jc w:val="left"/>
        <w:rPr>
          <w:rFonts w:hint="default" w:asciiTheme="minorHAnsi" w:hAnsiTheme="minorHAnsi" w:eastAsiaTheme="minorEastAsia" w:cstheme="minorBidi"/>
          <w:kern w:val="2"/>
          <w:sz w:val="21"/>
          <w:szCs w:val="24"/>
          <w:lang w:val="en-US" w:eastAsia="zh-CN" w:bidi="ar-SA"/>
        </w:rPr>
      </w:pPr>
      <w:r>
        <w:rPr>
          <w:rFonts w:eastAsia="宋体"/>
          <w:sz w:val="24"/>
        </w:rPr>
        <w:t>项目组由不少于</w:t>
      </w:r>
      <w:r>
        <w:rPr>
          <w:rFonts w:hint="eastAsia" w:eastAsia="宋体"/>
          <w:sz w:val="24"/>
        </w:rPr>
        <w:t>6</w:t>
      </w:r>
      <w:r>
        <w:rPr>
          <w:rFonts w:eastAsia="宋体"/>
          <w:sz w:val="24"/>
        </w:rPr>
        <w:t>人的专业团队构成,设计负责人1名:具有咨询工程师(投资）及一级造价工程师资格证书</w:t>
      </w:r>
      <w:r>
        <w:rPr>
          <w:rFonts w:hint="eastAsia" w:eastAsia="宋体"/>
          <w:sz w:val="24"/>
        </w:rPr>
        <w:t>；</w:t>
      </w:r>
      <w:r>
        <w:rPr>
          <w:rFonts w:eastAsia="宋体"/>
          <w:sz w:val="24"/>
        </w:rPr>
        <w:t>总监理工程师1名:具有人力资源和社会保障部及工业和信息化部联合授予的信息系统项目管理师及网络工程师资质证书</w:t>
      </w:r>
      <w:r>
        <w:rPr>
          <w:rFonts w:hint="eastAsia" w:eastAsia="宋体"/>
          <w:sz w:val="24"/>
        </w:rPr>
        <w:t>；</w:t>
      </w:r>
      <w:r>
        <w:rPr>
          <w:rFonts w:eastAsia="宋体"/>
          <w:sz w:val="24"/>
        </w:rPr>
        <w:t>技术负责人1名:具有人力资源和社会保障部及工业和信息化部联合授予的系统规划与管理师或系统分析师资格证书</w:t>
      </w:r>
      <w:r>
        <w:rPr>
          <w:rFonts w:hint="eastAsia" w:eastAsia="宋体"/>
          <w:sz w:val="24"/>
        </w:rPr>
        <w:t>；</w:t>
      </w:r>
      <w:r>
        <w:rPr>
          <w:rFonts w:eastAsia="宋体"/>
          <w:sz w:val="24"/>
        </w:rPr>
        <w:t>专业监理工程师至少3名:具有人力资源和社会保障部及工业和信息化部联合授予的信息系统监理师资质证书,需根据实际需要安排至少</w:t>
      </w:r>
      <w:r>
        <w:rPr>
          <w:rFonts w:hint="eastAsia" w:eastAsia="宋体"/>
          <w:sz w:val="24"/>
        </w:rPr>
        <w:t>3</w:t>
      </w:r>
      <w:r>
        <w:rPr>
          <w:rFonts w:eastAsia="宋体"/>
          <w:sz w:val="24"/>
        </w:rPr>
        <w:t>名技术人员提供驻场服务</w:t>
      </w:r>
      <w:r>
        <w:rPr>
          <w:rFonts w:hint="eastAsia" w:ascii="宋体" w:hAnsi="宋体" w:eastAsia="宋体"/>
          <w:sz w:val="24"/>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9B8CB">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F062FE">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0F062FE">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376721"/>
    <w:multiLevelType w:val="multilevel"/>
    <w:tmpl w:val="DA376721"/>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122"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02CE441E"/>
    <w:multiLevelType w:val="multilevel"/>
    <w:tmpl w:val="02CE441E"/>
    <w:lvl w:ilvl="0" w:tentative="0">
      <w:start w:val="1"/>
      <w:numFmt w:val="decimal"/>
      <w:lvlText w:val="%1."/>
      <w:lvlJc w:val="left"/>
      <w:pPr>
        <w:tabs>
          <w:tab w:val="left" w:pos="720"/>
        </w:tabs>
        <w:ind w:left="720" w:hanging="360"/>
      </w:pPr>
    </w:lvl>
    <w:lvl w:ilvl="1" w:tentative="0">
      <w:start w:val="1"/>
      <w:numFmt w:val="bullet"/>
      <w:lvlText w:val=""/>
      <w:lvlJc w:val="left"/>
      <w:pPr>
        <w:ind w:left="1520" w:hanging="440"/>
      </w:pPr>
      <w:rPr>
        <w:rFonts w:hint="default" w:ascii="Wingdings" w:hAnsi="Wingdings"/>
      </w:rPr>
    </w:lvl>
    <w:lvl w:ilvl="2" w:tentative="0">
      <w:start w:val="1"/>
      <w:numFmt w:val="decimal"/>
      <w:lvlText w:val="（%3）"/>
      <w:lvlJc w:val="left"/>
      <w:pPr>
        <w:ind w:left="2520" w:hanging="720"/>
      </w:pPr>
      <w:rPr>
        <w:rFonts w:hint="default"/>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34AC64CA"/>
    <w:multiLevelType w:val="multilevel"/>
    <w:tmpl w:val="34AC64CA"/>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4C977585"/>
    <w:multiLevelType w:val="multilevel"/>
    <w:tmpl w:val="4C977585"/>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68AC5CF3"/>
    <w:multiLevelType w:val="multilevel"/>
    <w:tmpl w:val="68AC5CF3"/>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9250C"/>
    <w:rsid w:val="06DD024B"/>
    <w:rsid w:val="08AC25CB"/>
    <w:rsid w:val="08E9737B"/>
    <w:rsid w:val="09954E0D"/>
    <w:rsid w:val="0B684935"/>
    <w:rsid w:val="0DC61A39"/>
    <w:rsid w:val="0FFA3C1C"/>
    <w:rsid w:val="1A8C400A"/>
    <w:rsid w:val="1AB85990"/>
    <w:rsid w:val="1B261D69"/>
    <w:rsid w:val="1BAF7FB0"/>
    <w:rsid w:val="1E0E6597"/>
    <w:rsid w:val="26EF7DFB"/>
    <w:rsid w:val="33F20F30"/>
    <w:rsid w:val="38044D88"/>
    <w:rsid w:val="451E1B7F"/>
    <w:rsid w:val="47CA5606"/>
    <w:rsid w:val="47EF7803"/>
    <w:rsid w:val="48653621"/>
    <w:rsid w:val="486F44A0"/>
    <w:rsid w:val="4F1B5C1C"/>
    <w:rsid w:val="539C325C"/>
    <w:rsid w:val="55292E28"/>
    <w:rsid w:val="57DB3900"/>
    <w:rsid w:val="5D485594"/>
    <w:rsid w:val="5D4B5084"/>
    <w:rsid w:val="6175447D"/>
    <w:rsid w:val="6CEB7CE9"/>
    <w:rsid w:val="700E61C9"/>
    <w:rsid w:val="71566079"/>
    <w:rsid w:val="74FC6F38"/>
    <w:rsid w:val="756B3B07"/>
    <w:rsid w:val="783C3AEF"/>
    <w:rsid w:val="7A380C8B"/>
    <w:rsid w:val="7D8915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toc 7"/>
    <w:next w:val="1"/>
    <w:qFormat/>
    <w:uiPriority w:val="39"/>
    <w:pPr>
      <w:widowControl w:val="0"/>
      <w:spacing w:after="160" w:line="259" w:lineRule="auto"/>
      <w:ind w:left="2520" w:leftChars="1200" w:firstLine="883" w:firstLineChars="200"/>
      <w:jc w:val="both"/>
    </w:pPr>
    <w:rPr>
      <w:rFonts w:ascii="Times New Roman" w:hAnsi="Times New Roman" w:eastAsia="宋体" w:cs="Times New Roman"/>
      <w:kern w:val="2"/>
      <w:sz w:val="24"/>
      <w:szCs w:val="24"/>
      <w:lang w:val="en-US" w:eastAsia="zh-CN" w:bidi="ar-SA"/>
    </w:rPr>
  </w:style>
  <w:style w:type="paragraph" w:styleId="6">
    <w:name w:val="Body Text"/>
    <w:basedOn w:val="1"/>
    <w:qFormat/>
    <w:uiPriority w:val="99"/>
    <w:pPr>
      <w:ind w:left="120"/>
      <w:jc w:val="left"/>
    </w:pPr>
    <w:rPr>
      <w:rFonts w:ascii="宋体" w:hAnsi="宋体"/>
      <w:kern w:val="0"/>
      <w:sz w:val="24"/>
      <w:szCs w:val="24"/>
      <w:lang w:eastAsia="en-US"/>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Table Paragraph"/>
    <w:basedOn w:val="1"/>
    <w:qFormat/>
    <w:uiPriority w:val="1"/>
  </w:style>
  <w:style w:type="table" w:customStyle="1" w:styleId="13">
    <w:name w:val="Table Normal"/>
    <w:semiHidden/>
    <w:unhideWhenUsed/>
    <w:qFormat/>
    <w:uiPriority w:val="2"/>
    <w:tblPr>
      <w:tblCellMar>
        <w:top w:w="0" w:type="dxa"/>
        <w:left w:w="0" w:type="dxa"/>
        <w:bottom w:w="0" w:type="dxa"/>
        <w:right w:w="0" w:type="dxa"/>
      </w:tblCellMar>
    </w:tblPr>
  </w:style>
  <w:style w:type="paragraph" w:customStyle="1" w:styleId="14">
    <w:name w:val="_正文"/>
    <w:basedOn w:val="1"/>
    <w:qFormat/>
    <w:uiPriority w:val="0"/>
    <w:pPr>
      <w:spacing w:line="360" w:lineRule="auto"/>
    </w:pPr>
    <w:rPr>
      <w:rFonts w:ascii="Times New Roman" w:hAnsi="Times New Roman"/>
      <w:kern w:val="0"/>
      <w:sz w:val="20"/>
      <w:szCs w:val="24"/>
    </w:rPr>
  </w:style>
  <w:style w:type="paragraph" w:styleId="15">
    <w:name w:val="List Paragraph"/>
    <w:qFormat/>
    <w:uiPriority w:val="34"/>
    <w:pPr>
      <w:widowControl w:val="0"/>
      <w:spacing w:line="360" w:lineRule="auto"/>
      <w:ind w:left="720" w:firstLine="883" w:firstLineChars="200"/>
      <w:contextualSpacing/>
      <w:jc w:val="both"/>
    </w:pPr>
    <w:rPr>
      <w:rFonts w:eastAsia="宋体" w:asciiTheme="minorHAnsi" w:hAnsiTheme="minorHAnsi" w:cstheme="minorBidi"/>
      <w:kern w:val="2"/>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4775</Words>
  <Characters>4818</Characters>
  <Lines>0</Lines>
  <Paragraphs>0</Paragraphs>
  <TotalTime>3</TotalTime>
  <ScaleCrop>false</ScaleCrop>
  <LinksUpToDate>false</LinksUpToDate>
  <CharactersWithSpaces>4879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2026-01-06T13:33:00Z</dcterms:created>
  <dc:creator>Administrator</dc:creator>
  <cp:lastModifiedBy>应新葩</cp:lastModifiedBy>
  <dcterms:modified xsi:type="dcterms:W3CDTF">2026-03-25T09:38:38Z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eyJoZGlkIjoiY2NjZTQ4MWM2ODcyZjdlODg4MjE5NDdhYzQyZmQxODEiLCJ1c2VySWQiOiIxNjQyMjI5NDI3In0=</vt:lpwstr>
  </property>
  <property fmtid="{D5CDD505-2E9C-101B-9397-08002B2CF9AE}" pid="4" name="ICV">
    <vt:lpwstr>C9C90AB7CBE045B795CEBE1CA1785F9B_13</vt:lpwstr>
  </property>
</Properties>
</file>